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92" w:rsidRDefault="00DE498C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-251640</wp:posOffset>
            </wp:positionH>
            <wp:positionV relativeFrom="paragraph">
              <wp:posOffset>-300989</wp:posOffset>
            </wp:positionV>
            <wp:extent cx="1619794" cy="1511807"/>
            <wp:effectExtent l="0" t="0" r="0" b="0"/>
            <wp:wrapNone/>
            <wp:docPr id="18531009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794" cy="1511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DE498C">
      <w:pPr>
        <w:ind w:right="26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</w:t>
      </w:r>
    </w:p>
    <w:p w:rsidR="00394F92" w:rsidRDefault="00394F92">
      <w:pPr>
        <w:ind w:right="26"/>
        <w:jc w:val="center"/>
        <w:rPr>
          <w:b/>
          <w:color w:val="000000"/>
          <w:sz w:val="52"/>
          <w:szCs w:val="52"/>
        </w:rPr>
      </w:pPr>
    </w:p>
    <w:p w:rsidR="00394F92" w:rsidRDefault="00394F92">
      <w:pPr>
        <w:ind w:right="26"/>
        <w:jc w:val="center"/>
        <w:rPr>
          <w:b/>
          <w:color w:val="000000"/>
          <w:sz w:val="52"/>
          <w:szCs w:val="52"/>
        </w:rPr>
      </w:pPr>
    </w:p>
    <w:p w:rsidR="00394F92" w:rsidRDefault="00DE498C">
      <w:pPr>
        <w:ind w:right="26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Plan de Gestión de Convivencia Escolar</w:t>
      </w: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DE498C">
      <w:pPr>
        <w:ind w:right="26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Marzo, 2024</w:t>
      </w:r>
    </w:p>
    <w:p w:rsidR="00394F92" w:rsidRDefault="00394F92">
      <w:pPr>
        <w:ind w:right="26"/>
        <w:jc w:val="center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sz w:val="32"/>
          <w:szCs w:val="32"/>
        </w:rPr>
      </w:pPr>
    </w:p>
    <w:p w:rsidR="00394F92" w:rsidRDefault="00394F92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394F92" w:rsidRDefault="00DE498C">
      <w:pPr>
        <w:ind w:right="2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Índice</w:t>
      </w: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color w:val="000000"/>
        </w:rPr>
      </w:pPr>
    </w:p>
    <w:p w:rsidR="00394F92" w:rsidRDefault="00DE498C">
      <w:pPr>
        <w:ind w:right="26"/>
      </w:pPr>
      <w:r>
        <w:rPr>
          <w:b/>
          <w:color w:val="000000"/>
        </w:rPr>
        <w:t>I.</w:t>
      </w:r>
      <w:r>
        <w:rPr>
          <w:color w:val="000000"/>
        </w:rPr>
        <w:t xml:space="preserve"> Identificación del establecimiento educacional </w:t>
      </w:r>
      <w:r>
        <w:t>…………………………………………</w:t>
      </w:r>
      <w:proofErr w:type="gramStart"/>
      <w:r>
        <w:t>…….</w:t>
      </w:r>
      <w:proofErr w:type="gramEnd"/>
      <w:r>
        <w:t>2</w:t>
      </w:r>
    </w:p>
    <w:p w:rsidR="00394F92" w:rsidRDefault="00394F92">
      <w:pPr>
        <w:ind w:right="26"/>
      </w:pPr>
    </w:p>
    <w:p w:rsidR="00394F92" w:rsidRDefault="00DE498C">
      <w:r>
        <w:rPr>
          <w:b/>
        </w:rPr>
        <w:t>II</w:t>
      </w:r>
      <w:r>
        <w:t>. Introducción ……………………………………………………………</w:t>
      </w:r>
      <w:proofErr w:type="gramStart"/>
      <w:r>
        <w:t>…….</w:t>
      </w:r>
      <w:proofErr w:type="gramEnd"/>
      <w:r>
        <w:t>.………………….3</w:t>
      </w:r>
    </w:p>
    <w:p w:rsidR="00394F92" w:rsidRDefault="00394F92"/>
    <w:p w:rsidR="00394F92" w:rsidRDefault="00DE498C">
      <w:r>
        <w:rPr>
          <w:b/>
        </w:rPr>
        <w:t>III.</w:t>
      </w:r>
      <w:r>
        <w:t xml:space="preserve"> Marcos legales y normativos …………………………………………</w:t>
      </w:r>
      <w:proofErr w:type="gramStart"/>
      <w:r>
        <w:t>…….</w:t>
      </w:r>
      <w:proofErr w:type="gramEnd"/>
      <w:r>
        <w:t>.…………………5</w:t>
      </w:r>
    </w:p>
    <w:p w:rsidR="00394F92" w:rsidRDefault="00394F92"/>
    <w:p w:rsidR="00394F92" w:rsidRDefault="00DE498C">
      <w:r>
        <w:rPr>
          <w:b/>
          <w:color w:val="000000"/>
        </w:rPr>
        <w:t>I</w:t>
      </w:r>
      <w:r>
        <w:rPr>
          <w:b/>
        </w:rPr>
        <w:t>V</w:t>
      </w:r>
      <w:r>
        <w:rPr>
          <w:color w:val="000000"/>
        </w:rPr>
        <w:t xml:space="preserve">. Marco conceptual, contextualización y enfoque del </w:t>
      </w:r>
      <w:r w:rsidR="00AC469E">
        <w:rPr>
          <w:color w:val="000000"/>
        </w:rPr>
        <w:t>PGCE</w:t>
      </w:r>
      <w:r>
        <w:t>………………</w:t>
      </w:r>
      <w:r>
        <w:t>……</w:t>
      </w:r>
      <w:proofErr w:type="gramStart"/>
      <w:r>
        <w:t>…….</w:t>
      </w:r>
      <w:proofErr w:type="gramEnd"/>
      <w:r>
        <w:t>…7</w:t>
      </w:r>
    </w:p>
    <w:p w:rsidR="00394F92" w:rsidRDefault="00394F92"/>
    <w:p w:rsidR="00394F92" w:rsidRDefault="00DE498C">
      <w:r>
        <w:rPr>
          <w:b/>
        </w:rPr>
        <w:t>V.</w:t>
      </w:r>
      <w:r>
        <w:t xml:space="preserve"> Elementos del Proyecto Educativo Institucional para consid</w:t>
      </w:r>
      <w:r>
        <w:t>erar en el PGCE………</w:t>
      </w:r>
      <w:proofErr w:type="gramStart"/>
      <w:r>
        <w:t>…....</w:t>
      </w:r>
      <w:proofErr w:type="gramEnd"/>
      <w:r>
        <w:t>8</w:t>
      </w:r>
    </w:p>
    <w:p w:rsidR="00394F92" w:rsidRDefault="00394F92"/>
    <w:p w:rsidR="00394F92" w:rsidRDefault="00DE498C">
      <w:r>
        <w:rPr>
          <w:b/>
        </w:rPr>
        <w:t>VI</w:t>
      </w:r>
      <w:r>
        <w:t>. Objetivos en Plan Gestión de la Convivencia Escolar ……………………………………...9</w:t>
      </w:r>
    </w:p>
    <w:p w:rsidR="00394F92" w:rsidRDefault="00394F92"/>
    <w:p w:rsidR="00394F92" w:rsidRDefault="00DE498C">
      <w:r>
        <w:rPr>
          <w:b/>
        </w:rPr>
        <w:t>VII.</w:t>
      </w:r>
      <w:r>
        <w:t xml:space="preserve"> Equipo de Convivencia Escolar en el establecimiento ………………………………</w:t>
      </w:r>
      <w:proofErr w:type="gramStart"/>
      <w:r>
        <w:t>…….</w:t>
      </w:r>
      <w:proofErr w:type="gramEnd"/>
      <w:r>
        <w:t>10</w:t>
      </w:r>
    </w:p>
    <w:p w:rsidR="00394F92" w:rsidRDefault="00394F92"/>
    <w:p w:rsidR="00394F92" w:rsidRDefault="00DE498C">
      <w:r>
        <w:rPr>
          <w:b/>
        </w:rPr>
        <w:t>VIII.</w:t>
      </w:r>
      <w:r>
        <w:t xml:space="preserve"> </w:t>
      </w:r>
      <w:r w:rsidR="00AC469E">
        <w:t>Plan de Gestión de la Convivencia Escolar…………………………………………………</w:t>
      </w:r>
      <w:proofErr w:type="gramStart"/>
      <w:r w:rsidR="00AC469E">
        <w:t>…</w:t>
      </w:r>
      <w:r>
        <w:t>….</w:t>
      </w:r>
      <w:proofErr w:type="gramEnd"/>
      <w:r>
        <w:t>16</w:t>
      </w:r>
    </w:p>
    <w:p w:rsidR="00394F92" w:rsidRDefault="00394F92"/>
    <w:p w:rsidR="00394F92" w:rsidRDefault="00DE498C">
      <w:r>
        <w:rPr>
          <w:b/>
        </w:rPr>
        <w:t>IX.</w:t>
      </w:r>
      <w:r>
        <w:t xml:space="preserve"> Referencias ……………………………………………………………………………………..</w:t>
      </w:r>
      <w:r w:rsidR="00AC469E">
        <w:t>25</w:t>
      </w:r>
      <w:bookmarkStart w:id="0" w:name="_GoBack"/>
      <w:bookmarkEnd w:id="0"/>
    </w:p>
    <w:p w:rsidR="00394F92" w:rsidRDefault="00394F92">
      <w:pPr>
        <w:ind w:right="26"/>
        <w:rPr>
          <w:color w:val="000000"/>
        </w:rPr>
      </w:pPr>
    </w:p>
    <w:p w:rsidR="00394F92" w:rsidRDefault="00394F92">
      <w:pPr>
        <w:ind w:right="26"/>
        <w:rPr>
          <w:color w:val="000000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color w:val="000000"/>
          <w:sz w:val="32"/>
          <w:szCs w:val="32"/>
        </w:rPr>
      </w:pPr>
    </w:p>
    <w:p w:rsidR="00394F92" w:rsidRDefault="00394F92">
      <w:pPr>
        <w:ind w:right="26"/>
        <w:rPr>
          <w:b/>
          <w:sz w:val="32"/>
          <w:szCs w:val="32"/>
        </w:rPr>
      </w:pPr>
    </w:p>
    <w:p w:rsidR="00394F92" w:rsidRDefault="00394F92">
      <w:pPr>
        <w:ind w:right="26"/>
        <w:rPr>
          <w:b/>
          <w:sz w:val="32"/>
          <w:szCs w:val="32"/>
        </w:rPr>
      </w:pPr>
    </w:p>
    <w:p w:rsidR="00394F92" w:rsidRDefault="00394F92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AC469E" w:rsidRDefault="00AC469E">
      <w:pPr>
        <w:ind w:right="26"/>
        <w:rPr>
          <w:b/>
          <w:sz w:val="32"/>
          <w:szCs w:val="32"/>
        </w:rPr>
      </w:pPr>
    </w:p>
    <w:p w:rsidR="00394F92" w:rsidRDefault="00DE498C">
      <w:pPr>
        <w:ind w:right="2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I. Identificación del establecimiento educacional</w:t>
      </w:r>
    </w:p>
    <w:p w:rsidR="00394F92" w:rsidRDefault="00394F92">
      <w:pPr>
        <w:ind w:right="26"/>
        <w:jc w:val="center"/>
        <w:rPr>
          <w:b/>
          <w:color w:val="000000"/>
          <w:sz w:val="40"/>
          <w:szCs w:val="40"/>
        </w:rPr>
      </w:pPr>
    </w:p>
    <w:tbl>
      <w:tblPr>
        <w:tblStyle w:val="a"/>
        <w:tblW w:w="8328" w:type="dxa"/>
        <w:tblInd w:w="817" w:type="dxa"/>
        <w:tblBorders>
          <w:top w:val="single" w:sz="4" w:space="0" w:color="D76DCC"/>
          <w:left w:val="single" w:sz="4" w:space="0" w:color="BFBFBF"/>
          <w:bottom w:val="single" w:sz="4" w:space="0" w:color="D76DCC"/>
          <w:right w:val="single" w:sz="4" w:space="0" w:color="BFBFBF"/>
          <w:insideH w:val="single" w:sz="4" w:space="0" w:color="D76DCC"/>
          <w:insideV w:val="single" w:sz="4" w:space="0" w:color="D76DCC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4926"/>
      </w:tblGrid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Tipo de establecimiento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Técnico profesional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RBD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8424-7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Niveles de Enseñanza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r>
              <w:t>Jornada diurna:</w:t>
            </w:r>
          </w:p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7º y 8º Básico</w:t>
            </w:r>
          </w:p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1º a 4º Medio</w:t>
            </w:r>
          </w:p>
          <w:p w:rsidR="00394F92" w:rsidRDefault="00DE498C">
            <w:r>
              <w:t>Jornada Vespertina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 xml:space="preserve">Hernando de Magallanes </w:t>
            </w:r>
            <w:r>
              <w:t>#</w:t>
            </w:r>
            <w:r>
              <w:rPr>
                <w:color w:val="000000"/>
              </w:rPr>
              <w:t xml:space="preserve"> 847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Comuna - Región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Punta Arenas- XII Región de Magallanes y de la Antártica Chilena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Nombre director(a)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Jorge Cabezas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Correo electrónico director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direccion.insuco@slepm.cl</w:t>
            </w:r>
          </w:p>
        </w:tc>
      </w:tr>
      <w:tr w:rsidR="00394F92">
        <w:trPr>
          <w:trHeight w:val="5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Nombre encargado de</w:t>
            </w:r>
          </w:p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convivencia escolar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Katherine López Alvarado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Cantidad de horas del cargo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94F92">
        <w:trPr>
          <w:trHeight w:val="5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Correo electrónico encargado de convivencia escolar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katherine.lopez@insucopuntaarenas.cl</w:t>
            </w:r>
          </w:p>
        </w:tc>
      </w:tr>
      <w:tr w:rsidR="00394F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Teléfono establecimiento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(61) 2241332</w:t>
            </w:r>
          </w:p>
        </w:tc>
      </w:tr>
      <w:tr w:rsidR="00394F92">
        <w:trPr>
          <w:trHeight w:val="5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  <w:p w:rsidR="00394F92" w:rsidRDefault="00DE498C">
            <w:pPr>
              <w:rPr>
                <w:color w:val="000000"/>
              </w:rPr>
            </w:pPr>
            <w:r>
              <w:rPr>
                <w:color w:val="000000"/>
              </w:rPr>
              <w:t>institucional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2" w:rsidRDefault="00DE498C">
            <w:pPr>
              <w:rPr>
                <w:color w:val="000000"/>
              </w:rPr>
            </w:pPr>
            <w:hyperlink r:id="rId9">
              <w:r>
                <w:rPr>
                  <w:color w:val="467886"/>
                  <w:u w:val="single"/>
                </w:rPr>
                <w:t>convivencia@insucopuntaarenas.cl</w:t>
              </w:r>
            </w:hyperlink>
          </w:p>
          <w:p w:rsidR="00394F92" w:rsidRDefault="00DE498C">
            <w:pPr>
              <w:rPr>
                <w:color w:val="000000"/>
              </w:rPr>
            </w:pPr>
            <w:hyperlink r:id="rId10">
              <w:r>
                <w:rPr>
                  <w:color w:val="467886"/>
                  <w:u w:val="single"/>
                </w:rPr>
                <w:t>convivenciaescola.insuco@insucopuntaarenas.cl</w:t>
              </w:r>
            </w:hyperlink>
          </w:p>
          <w:p w:rsidR="00394F92" w:rsidRDefault="00394F92">
            <w:pPr>
              <w:rPr>
                <w:color w:val="000000"/>
              </w:rPr>
            </w:pPr>
          </w:p>
        </w:tc>
      </w:tr>
    </w:tbl>
    <w:p w:rsidR="00394F92" w:rsidRDefault="00394F92">
      <w:pPr>
        <w:ind w:right="26"/>
        <w:jc w:val="center"/>
        <w:rPr>
          <w:color w:val="000000"/>
          <w:sz w:val="40"/>
          <w:szCs w:val="40"/>
        </w:rPr>
      </w:pPr>
    </w:p>
    <w:p w:rsidR="00394F92" w:rsidRDefault="00394F92">
      <w:pPr>
        <w:ind w:right="26"/>
        <w:jc w:val="center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AC469E" w:rsidRDefault="00AC469E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>
      <w:pPr>
        <w:ind w:left="-426" w:firstLine="284"/>
      </w:pPr>
    </w:p>
    <w:p w:rsidR="00394F92" w:rsidRDefault="00394F92" w:rsidP="00A96E01"/>
    <w:p w:rsidR="00394F92" w:rsidRDefault="00DE498C">
      <w:pPr>
        <w:ind w:left="-426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Introducción</w:t>
      </w:r>
    </w:p>
    <w:p w:rsidR="00394F92" w:rsidRDefault="00394F92">
      <w:pPr>
        <w:ind w:left="-426" w:firstLine="284"/>
      </w:pPr>
    </w:p>
    <w:p w:rsidR="00394F92" w:rsidRDefault="00394F92">
      <w:pPr>
        <w:ind w:left="426"/>
      </w:pPr>
    </w:p>
    <w:p w:rsidR="00394F92" w:rsidRPr="00A96E01" w:rsidRDefault="00DE498C">
      <w:pPr>
        <w:ind w:left="426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El Instituto Superior de Comercio sigue los lineamientos entregados por el Ministerio de Educación respecto al desarrollo de la convivencia escolar, promoviendo en los y las estudiantes la resolución pacífica de conflictos, la práctica de los valores insti</w:t>
      </w:r>
      <w:r w:rsidRPr="00A96E01">
        <w:rPr>
          <w:rFonts w:ascii="Arial" w:hAnsi="Arial" w:cs="Arial"/>
        </w:rPr>
        <w:t>tucionales (respeto, responsabilidad, solidaridad, proactividad, resiliencia), aceptación por la diversidad, inclusión, enfoque de género, prácticas democratizadoras entre otros principios que permiten la convivencia escolar e intenta abordar situaciones q</w:t>
      </w:r>
      <w:r w:rsidRPr="00A96E01">
        <w:rPr>
          <w:rFonts w:ascii="Arial" w:hAnsi="Arial" w:cs="Arial"/>
        </w:rPr>
        <w:t>ue impidan la convivencia.</w:t>
      </w:r>
    </w:p>
    <w:p w:rsidR="00394F92" w:rsidRPr="00A96E01" w:rsidRDefault="00394F92">
      <w:pPr>
        <w:ind w:left="426"/>
        <w:jc w:val="both"/>
        <w:rPr>
          <w:rFonts w:ascii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eastAsia="Arial" w:hAnsi="Arial" w:cs="Arial"/>
        </w:rPr>
        <w:t xml:space="preserve">El presente PGCE intenta promover prácticas democratizadoras que integran a la comunidad educativa en la toma de decisiones, a través de un trabajo colaborativo considerando opiniones de estudiantes, padres, </w:t>
      </w:r>
      <w:proofErr w:type="spellStart"/>
      <w:proofErr w:type="gramStart"/>
      <w:r w:rsidRPr="00A96E01">
        <w:rPr>
          <w:rFonts w:ascii="Arial" w:eastAsia="Arial" w:hAnsi="Arial" w:cs="Arial"/>
        </w:rPr>
        <w:t>profesores,asistente</w:t>
      </w:r>
      <w:r w:rsidRPr="00A96E01">
        <w:rPr>
          <w:rFonts w:ascii="Arial" w:eastAsia="Arial" w:hAnsi="Arial" w:cs="Arial"/>
        </w:rPr>
        <w:t>s</w:t>
      </w:r>
      <w:proofErr w:type="spellEnd"/>
      <w:proofErr w:type="gramEnd"/>
      <w:r w:rsidRPr="00A96E01">
        <w:rPr>
          <w:rFonts w:ascii="Arial" w:eastAsia="Arial" w:hAnsi="Arial" w:cs="Arial"/>
        </w:rPr>
        <w:t xml:space="preserve"> de la educación, equipo PIE y equipo de gestión, lo cual pretende generar lazos de confianza, elemento central para lograr la mejora en la convivencia escolar.</w:t>
      </w:r>
    </w:p>
    <w:p w:rsidR="00394F92" w:rsidRPr="00A96E01" w:rsidRDefault="00394F92">
      <w:pPr>
        <w:ind w:left="425"/>
        <w:jc w:val="both"/>
        <w:rPr>
          <w:rFonts w:ascii="Arial" w:eastAsia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hAnsi="Arial" w:cs="Arial"/>
        </w:rPr>
        <w:t>El impacto de la convivencia escolar en el aprendizaje de los/as estudiantes, ha provocado qu</w:t>
      </w:r>
      <w:r w:rsidRPr="00A96E01">
        <w:rPr>
          <w:rFonts w:ascii="Arial" w:hAnsi="Arial" w:cs="Arial"/>
        </w:rPr>
        <w:t>e la política educativa en torno a la convivencia escolar se enfoque en promover un mejor clima escolar en las escuelas. De acuerdo a la Política Nacional de la Convivencia Escolar (PNCE) lo anterior es respaldado por evaluaciones de carácter nacional como</w:t>
      </w:r>
      <w:r w:rsidRPr="00A96E01">
        <w:rPr>
          <w:rFonts w:ascii="Arial" w:hAnsi="Arial" w:cs="Arial"/>
        </w:rPr>
        <w:t xml:space="preserve"> el SIMCE, el cual muestra que las escuelas con mejores resultados se caracterizan por un mejor clima escolar. </w:t>
      </w:r>
    </w:p>
    <w:p w:rsidR="00394F92" w:rsidRPr="00A96E01" w:rsidRDefault="00394F92">
      <w:pPr>
        <w:ind w:left="425"/>
        <w:jc w:val="both"/>
        <w:rPr>
          <w:rFonts w:ascii="Arial" w:eastAsia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hAnsi="Arial" w:cs="Arial"/>
        </w:rPr>
        <w:t xml:space="preserve">En el entendido de la transversalidad de la convivencia escolar, consideramos que, </w:t>
      </w:r>
      <w:r w:rsidRPr="00A96E01">
        <w:rPr>
          <w:rFonts w:ascii="Arial" w:eastAsia="Arial" w:hAnsi="Arial" w:cs="Arial"/>
        </w:rPr>
        <w:t>quienes gestionan la convivencia escolar, deben invertir sus</w:t>
      </w:r>
      <w:r w:rsidRPr="00A96E01">
        <w:rPr>
          <w:rFonts w:ascii="Arial" w:eastAsia="Arial" w:hAnsi="Arial" w:cs="Arial"/>
        </w:rPr>
        <w:t xml:space="preserve"> esfuerzos en promover tanto acciones pedagógicas como la creación de un currículo enfocado en fortalecer las competencias sociales necesarias para la convivencia (Magendzo, Toledo y Gutiérrez, 2012). Bajo esta tesitura, los miembros de la comunidad, debem</w:t>
      </w:r>
      <w:r w:rsidRPr="00A96E01">
        <w:rPr>
          <w:rFonts w:ascii="Arial" w:eastAsia="Arial" w:hAnsi="Arial" w:cs="Arial"/>
        </w:rPr>
        <w:t xml:space="preserve">os trabajar en conjunto para crear un manual de convivencia, validado por la comunidad educativa, con reglas y valores establecidos de común acuerdo (Magendzo, Toledo y Gutiérrez, 2012). Además, se considera que los docentes deben colocar especial énfasis </w:t>
      </w:r>
      <w:r w:rsidRPr="00A96E01">
        <w:rPr>
          <w:rFonts w:ascii="Arial" w:eastAsia="Arial" w:hAnsi="Arial" w:cs="Arial"/>
        </w:rPr>
        <w:t xml:space="preserve">en el diálogo y la argumentación en la resolución de conflictos en todo ámbito, generando instancias para que los/as estudiantes puedan desarrollar el pensamiento crítico y reflexivo. </w:t>
      </w:r>
    </w:p>
    <w:p w:rsidR="00394F92" w:rsidRPr="00A96E01" w:rsidRDefault="00394F92">
      <w:pPr>
        <w:ind w:left="425"/>
        <w:jc w:val="both"/>
        <w:rPr>
          <w:rFonts w:ascii="Arial" w:eastAsia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hAnsi="Arial" w:cs="Arial"/>
        </w:rPr>
        <w:t>Para enseñar y aprender a convivir con otros en forma respetuosa y res</w:t>
      </w:r>
      <w:r w:rsidRPr="00A96E01">
        <w:rPr>
          <w:rFonts w:ascii="Arial" w:hAnsi="Arial" w:cs="Arial"/>
        </w:rPr>
        <w:t>ponsable, es necesario reconocer que existen múltiples desafíos y tensiones que afectan la convivencia armónica y constructiva de los diferentes grupos humanos en la sociedad y en donde los colegios no escapan a ello. Por lo tanto, es fundamental que nuest</w:t>
      </w:r>
      <w:r w:rsidRPr="00A96E01">
        <w:rPr>
          <w:rFonts w:ascii="Arial" w:hAnsi="Arial" w:cs="Arial"/>
        </w:rPr>
        <w:t>ros estudiantes junto a sus familias, docentes, directivos y asistentes de la educación, puedan interiorizar la importancia de aprender a convivir armónicamente unos con otros, fomentando los procesos reflexivos y formativos de nuestros/as estudiantes.</w:t>
      </w:r>
    </w:p>
    <w:p w:rsidR="00394F92" w:rsidRPr="00A96E01" w:rsidRDefault="00394F92">
      <w:pPr>
        <w:ind w:left="426"/>
        <w:jc w:val="both"/>
        <w:rPr>
          <w:rFonts w:ascii="Arial" w:hAnsi="Arial" w:cs="Arial"/>
          <w:i/>
        </w:rPr>
      </w:pPr>
    </w:p>
    <w:p w:rsidR="00394F92" w:rsidRPr="00A96E01" w:rsidRDefault="00DE498C">
      <w:pPr>
        <w:ind w:left="426"/>
        <w:jc w:val="both"/>
        <w:rPr>
          <w:rFonts w:ascii="Arial" w:eastAsia="Arial" w:hAnsi="Arial" w:cs="Arial"/>
        </w:rPr>
      </w:pPr>
      <w:r w:rsidRPr="00A96E01">
        <w:rPr>
          <w:rFonts w:ascii="Arial" w:eastAsia="Arial" w:hAnsi="Arial" w:cs="Arial"/>
        </w:rPr>
        <w:t>Po</w:t>
      </w:r>
      <w:r w:rsidRPr="00A96E01">
        <w:rPr>
          <w:rFonts w:ascii="Arial" w:eastAsia="Arial" w:hAnsi="Arial" w:cs="Arial"/>
        </w:rPr>
        <w:t xml:space="preserve">r otro lado, colocamos énfasis en la importancia de la salud mental y el bienestar socioemocional de nuestros y nuestras estudiantes, siendo ésta una de las dimensiones más importantes en el desarrollo integral al estar presente a lo largo del ciclo vital </w:t>
      </w:r>
      <w:r w:rsidRPr="00A96E01">
        <w:rPr>
          <w:rFonts w:ascii="Arial" w:eastAsia="Arial" w:hAnsi="Arial" w:cs="Arial"/>
        </w:rPr>
        <w:t>de una persona. Las orientaciones entregadas por el Ministerio de Educación desde el impacto que produjo el confinamiento durante la pandemia en la salud mental de niños, niñas y adolescentes (NNA), estableció la tarea en las escuelas de enfatizar en el ap</w:t>
      </w:r>
      <w:r w:rsidRPr="00A96E01">
        <w:rPr>
          <w:rFonts w:ascii="Arial" w:eastAsia="Arial" w:hAnsi="Arial" w:cs="Arial"/>
        </w:rPr>
        <w:t xml:space="preserve">rendizaje socioemocional, abrir espacios de reflexión, promover buenas prácticas de la convivencia escolar, promover el respeto a las diferencias y la participación responsable en los procesos de mejora vinculados al área socioemocional. En </w:t>
      </w:r>
      <w:proofErr w:type="gramStart"/>
      <w:r w:rsidRPr="00A96E01">
        <w:rPr>
          <w:rFonts w:ascii="Arial" w:eastAsia="Arial" w:hAnsi="Arial" w:cs="Arial"/>
        </w:rPr>
        <w:t>éste</w:t>
      </w:r>
      <w:proofErr w:type="gramEnd"/>
      <w:r w:rsidRPr="00A96E01">
        <w:rPr>
          <w:rFonts w:ascii="Arial" w:eastAsia="Arial" w:hAnsi="Arial" w:cs="Arial"/>
        </w:rPr>
        <w:t xml:space="preserve"> ámbito el </w:t>
      </w:r>
      <w:r w:rsidRPr="00A96E01">
        <w:rPr>
          <w:rFonts w:ascii="Arial" w:eastAsia="Arial" w:hAnsi="Arial" w:cs="Arial"/>
        </w:rPr>
        <w:t>rol del/a profesor/a jefe se torna fundamental al ser quienes debieran identificar aspectos claves a trabajar en el aula para el desarrollo integral (dimensiones personal, cognitiva, afectiva, social y académica).</w:t>
      </w:r>
    </w:p>
    <w:p w:rsidR="00394F92" w:rsidRPr="00A96E01" w:rsidRDefault="00394F92">
      <w:pPr>
        <w:jc w:val="both"/>
        <w:rPr>
          <w:rFonts w:ascii="Arial" w:hAnsi="Arial" w:cs="Arial"/>
        </w:rPr>
      </w:pPr>
    </w:p>
    <w:p w:rsidR="00394F92" w:rsidRPr="00A96E01" w:rsidRDefault="00DE498C">
      <w:pPr>
        <w:spacing w:line="301" w:lineRule="auto"/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eastAsia="Arial" w:hAnsi="Arial" w:cs="Arial"/>
        </w:rPr>
        <w:t>Además, es importante destacar la necesid</w:t>
      </w:r>
      <w:r w:rsidRPr="00A96E01">
        <w:rPr>
          <w:rFonts w:ascii="Arial" w:eastAsia="Arial" w:hAnsi="Arial" w:cs="Arial"/>
        </w:rPr>
        <w:t>ad de la formación docente en los ámbitos que puedan ser relevantes y que se identifiquen como los pilares que sostienen el presente PGCE. Sobre lo anterior cabe señalar que “es necesario mejorar las capacidades de los profesionales que participan en los e</w:t>
      </w:r>
      <w:r w:rsidRPr="00A96E01">
        <w:rPr>
          <w:rFonts w:ascii="Arial" w:eastAsia="Arial" w:hAnsi="Arial" w:cs="Arial"/>
        </w:rPr>
        <w:t xml:space="preserve">quipos de gestión y equipos de convivencia escolar. Esto </w:t>
      </w:r>
      <w:r w:rsidRPr="00A96E01">
        <w:rPr>
          <w:rFonts w:ascii="Arial" w:eastAsia="Arial" w:hAnsi="Arial" w:cs="Arial"/>
        </w:rPr>
        <w:lastRenderedPageBreak/>
        <w:t xml:space="preserve">incluye capacidades técnicas para el diagnóstico, diseño de planes de acción, implementación y evaluación de ellas” (López, </w:t>
      </w:r>
      <w:proofErr w:type="spellStart"/>
      <w:r w:rsidRPr="00A96E01">
        <w:rPr>
          <w:rFonts w:ascii="Arial" w:eastAsia="Arial" w:hAnsi="Arial" w:cs="Arial"/>
        </w:rPr>
        <w:t>Ascorra</w:t>
      </w:r>
      <w:proofErr w:type="spellEnd"/>
      <w:r w:rsidRPr="00A96E01">
        <w:rPr>
          <w:rFonts w:ascii="Arial" w:eastAsia="Arial" w:hAnsi="Arial" w:cs="Arial"/>
        </w:rPr>
        <w:t>, Morales, Ortiz, Carrasco, Bilbao, Ayala, Olavarría, Villalobos y Á</w:t>
      </w:r>
      <w:r w:rsidRPr="00A96E01">
        <w:rPr>
          <w:rFonts w:ascii="Arial" w:eastAsia="Arial" w:hAnsi="Arial" w:cs="Arial"/>
        </w:rPr>
        <w:t xml:space="preserve">lvarez, 2015, p.134). Así, es menester que los profesionales puedan recibir apoyo tanto interno como externo para el desarrollo de habilidades y competencias que </w:t>
      </w:r>
      <w:proofErr w:type="gramStart"/>
      <w:r w:rsidRPr="00A96E01">
        <w:rPr>
          <w:rFonts w:ascii="Arial" w:eastAsia="Arial" w:hAnsi="Arial" w:cs="Arial"/>
        </w:rPr>
        <w:t>permitan  el</w:t>
      </w:r>
      <w:proofErr w:type="gramEnd"/>
      <w:r w:rsidRPr="00A96E01">
        <w:rPr>
          <w:rFonts w:ascii="Arial" w:eastAsia="Arial" w:hAnsi="Arial" w:cs="Arial"/>
        </w:rPr>
        <w:t xml:space="preserve"> logro de las metas como institución y la mejora educativa.</w:t>
      </w:r>
    </w:p>
    <w:p w:rsidR="00394F92" w:rsidRPr="00A96E01" w:rsidRDefault="00394F92">
      <w:pPr>
        <w:spacing w:line="301" w:lineRule="auto"/>
        <w:jc w:val="both"/>
        <w:rPr>
          <w:rFonts w:ascii="Arial" w:eastAsia="Arial" w:hAnsi="Arial" w:cs="Arial"/>
        </w:rPr>
      </w:pPr>
    </w:p>
    <w:p w:rsidR="00394F92" w:rsidRPr="00A96E01" w:rsidRDefault="00DE498C">
      <w:pPr>
        <w:spacing w:line="301" w:lineRule="auto"/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eastAsia="Arial" w:hAnsi="Arial" w:cs="Arial"/>
        </w:rPr>
        <w:t xml:space="preserve">Cabe señalar, que el </w:t>
      </w:r>
      <w:r w:rsidRPr="00A96E01">
        <w:rPr>
          <w:rFonts w:ascii="Arial" w:eastAsia="Arial" w:hAnsi="Arial" w:cs="Arial"/>
        </w:rPr>
        <w:t xml:space="preserve">trabajo dispuesto en el presente PGCE fue construido con enfoque de género, aspecto esencial para lograr espacios educativos libres de discriminación y violencia de género, lo que también, nos permite avanzar hacia una </w:t>
      </w:r>
      <w:proofErr w:type="spellStart"/>
      <w:r w:rsidRPr="00A96E01">
        <w:rPr>
          <w:rFonts w:ascii="Arial" w:eastAsia="Arial" w:hAnsi="Arial" w:cs="Arial"/>
        </w:rPr>
        <w:t>una</w:t>
      </w:r>
      <w:proofErr w:type="spellEnd"/>
      <w:r w:rsidRPr="00A96E01">
        <w:rPr>
          <w:rFonts w:ascii="Arial" w:eastAsia="Arial" w:hAnsi="Arial" w:cs="Arial"/>
        </w:rPr>
        <w:t xml:space="preserve"> </w:t>
      </w:r>
      <w:proofErr w:type="spellStart"/>
      <w:r w:rsidRPr="00A96E01">
        <w:rPr>
          <w:rFonts w:ascii="Arial" w:eastAsia="Arial" w:hAnsi="Arial" w:cs="Arial"/>
        </w:rPr>
        <w:t>educación</w:t>
      </w:r>
      <w:proofErr w:type="spellEnd"/>
      <w:r w:rsidRPr="00A96E01">
        <w:rPr>
          <w:rFonts w:ascii="Arial" w:eastAsia="Arial" w:hAnsi="Arial" w:cs="Arial"/>
        </w:rPr>
        <w:t xml:space="preserve"> justa, igualitaria, no</w:t>
      </w:r>
      <w:r w:rsidRPr="00A96E01">
        <w:rPr>
          <w:rFonts w:ascii="Arial" w:eastAsia="Arial" w:hAnsi="Arial" w:cs="Arial"/>
        </w:rPr>
        <w:t xml:space="preserve"> sexista e inclusiva. A su vez, este enfoque otorga valor a las capacidades de NNA sin importar su sexo o identidad de género, promoviendo la participación activa e igualdad de oportunidades en el proceso de formación. Asimismo, se pretende garantizar el “</w:t>
      </w:r>
      <w:r w:rsidRPr="00A96E01">
        <w:rPr>
          <w:rFonts w:ascii="Arial" w:eastAsia="Arial" w:hAnsi="Arial" w:cs="Arial"/>
        </w:rPr>
        <w:t xml:space="preserve">derecho a estudiar en un ambiente de respeto mutuo, y a un trato digno e igualitario en todos los </w:t>
      </w:r>
      <w:proofErr w:type="spellStart"/>
      <w:r w:rsidRPr="00A96E01">
        <w:rPr>
          <w:rFonts w:ascii="Arial" w:eastAsia="Arial" w:hAnsi="Arial" w:cs="Arial"/>
        </w:rPr>
        <w:t>ámbitos</w:t>
      </w:r>
      <w:proofErr w:type="spellEnd"/>
      <w:r w:rsidRPr="00A96E01">
        <w:rPr>
          <w:rFonts w:ascii="Arial" w:eastAsia="Arial" w:hAnsi="Arial" w:cs="Arial"/>
        </w:rPr>
        <w:t>, en especial en el de las relaciones interpersonales y de la buena convivencia” (Ministerio de Educación, 2017, p. 6).</w:t>
      </w: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C469E" w:rsidRDefault="00AC469E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A96E01" w:rsidRDefault="00A96E01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394F92">
      <w:pPr>
        <w:spacing w:line="301" w:lineRule="auto"/>
        <w:ind w:left="425"/>
        <w:jc w:val="both"/>
        <w:rPr>
          <w:rFonts w:ascii="Arial" w:eastAsia="Arial" w:hAnsi="Arial" w:cs="Arial"/>
        </w:rPr>
      </w:pPr>
    </w:p>
    <w:p w:rsidR="00394F92" w:rsidRDefault="00DE498C">
      <w:pPr>
        <w:ind w:left="-426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III. Marcos legales y normativos</w:t>
      </w:r>
    </w:p>
    <w:p w:rsidR="00394F92" w:rsidRDefault="00394F92">
      <w:pPr>
        <w:ind w:left="-426" w:firstLine="284"/>
        <w:rPr>
          <w:b/>
          <w:sz w:val="32"/>
          <w:szCs w:val="32"/>
        </w:rPr>
      </w:pPr>
    </w:p>
    <w:p w:rsidR="00394F92" w:rsidRDefault="00394F92">
      <w:pPr>
        <w:rPr>
          <w:color w:val="9900FF"/>
        </w:rPr>
      </w:pPr>
    </w:p>
    <w:p w:rsidR="00394F92" w:rsidRPr="00A96E01" w:rsidRDefault="00DE498C">
      <w:pPr>
        <w:ind w:left="426"/>
        <w:jc w:val="both"/>
        <w:rPr>
          <w:rFonts w:ascii="Arial" w:hAnsi="Arial" w:cs="Arial"/>
          <w:color w:val="9900FF"/>
        </w:rPr>
      </w:pPr>
      <w:r w:rsidRPr="00A96E01">
        <w:rPr>
          <w:rFonts w:ascii="Arial" w:hAnsi="Arial" w:cs="Arial"/>
        </w:rPr>
        <w:t>Bajo el marco legal y normativo entendemos la convivencia escolar como “la coexistencia armónica de los miembros de la comunidad educativa, que supone una interrelación positiva entre ellos y permite el adecuado cumplimi</w:t>
      </w:r>
      <w:r w:rsidRPr="00A96E01">
        <w:rPr>
          <w:rFonts w:ascii="Arial" w:hAnsi="Arial" w:cs="Arial"/>
        </w:rPr>
        <w:t xml:space="preserve">ento de los objetivos educativos en un clima que propicia el desarrollo integral de los estudiantes” (Ley </w:t>
      </w:r>
      <w:proofErr w:type="spellStart"/>
      <w:r w:rsidRPr="00A96E01">
        <w:rPr>
          <w:rFonts w:ascii="Arial" w:hAnsi="Arial" w:cs="Arial"/>
        </w:rPr>
        <w:t>N°</w:t>
      </w:r>
      <w:proofErr w:type="spellEnd"/>
      <w:r w:rsidRPr="00A96E01">
        <w:rPr>
          <w:rFonts w:ascii="Arial" w:hAnsi="Arial" w:cs="Arial"/>
        </w:rPr>
        <w:t xml:space="preserve"> 20.536, art 16)</w:t>
      </w:r>
      <w:r w:rsidRPr="00A96E01">
        <w:rPr>
          <w:rFonts w:ascii="Arial" w:hAnsi="Arial" w:cs="Arial"/>
          <w:vertAlign w:val="superscript"/>
        </w:rPr>
        <w:footnoteReference w:id="1"/>
      </w:r>
      <w:r w:rsidRPr="00A96E01">
        <w:rPr>
          <w:rFonts w:ascii="Arial" w:hAnsi="Arial" w:cs="Arial"/>
        </w:rPr>
        <w:t>. Por lo tanto, existe el convencimiento que para poder lograr aprendizajes significativos en los y las estudiantes, debe existir u</w:t>
      </w:r>
      <w:r w:rsidRPr="00A96E01">
        <w:rPr>
          <w:rFonts w:ascii="Arial" w:hAnsi="Arial" w:cs="Arial"/>
        </w:rPr>
        <w:t>n ambiente de convivencia escolar seguro y amigable, ya sea dentro del aula como en otros espacios del establecimiento.</w:t>
      </w:r>
    </w:p>
    <w:p w:rsidR="00394F92" w:rsidRPr="00A96E01" w:rsidRDefault="00394F92">
      <w:pPr>
        <w:rPr>
          <w:rFonts w:ascii="Arial" w:hAnsi="Arial" w:cs="Arial"/>
          <w:color w:val="9900FF"/>
        </w:rPr>
      </w:pPr>
    </w:p>
    <w:p w:rsidR="00394F92" w:rsidRPr="00A96E01" w:rsidRDefault="00394F92">
      <w:pPr>
        <w:ind w:left="425"/>
        <w:jc w:val="both"/>
        <w:rPr>
          <w:rFonts w:ascii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 xml:space="preserve">De acuerdo a la Política Nacional de la Convivencia Escolar (PNCE), la cual tiene como objetivo orientar y fortalecer los procesos de </w:t>
      </w:r>
      <w:proofErr w:type="spellStart"/>
      <w:r w:rsidRPr="00A96E01">
        <w:rPr>
          <w:rFonts w:ascii="Arial" w:hAnsi="Arial" w:cs="Arial"/>
        </w:rPr>
        <w:t>enseñanza</w:t>
      </w:r>
      <w:proofErr w:type="spellEnd"/>
      <w:r w:rsidRPr="00A96E01">
        <w:rPr>
          <w:rFonts w:ascii="Arial" w:hAnsi="Arial" w:cs="Arial"/>
        </w:rPr>
        <w:t xml:space="preserve">, de aprendizaje y de </w:t>
      </w:r>
      <w:proofErr w:type="spellStart"/>
      <w:r w:rsidRPr="00A96E01">
        <w:rPr>
          <w:rFonts w:ascii="Arial" w:hAnsi="Arial" w:cs="Arial"/>
        </w:rPr>
        <w:t>gestión</w:t>
      </w:r>
      <w:proofErr w:type="spellEnd"/>
      <w:r w:rsidRPr="00A96E01">
        <w:rPr>
          <w:rFonts w:ascii="Arial" w:hAnsi="Arial" w:cs="Arial"/>
        </w:rPr>
        <w:t xml:space="preserve"> de la convivencia escolar para el desarrollo de los </w:t>
      </w:r>
      <w:proofErr w:type="spellStart"/>
      <w:r w:rsidRPr="00A96E01">
        <w:rPr>
          <w:rFonts w:ascii="Arial" w:hAnsi="Arial" w:cs="Arial"/>
        </w:rPr>
        <w:t>ámbitos</w:t>
      </w:r>
      <w:proofErr w:type="spellEnd"/>
      <w:r w:rsidRPr="00A96E01">
        <w:rPr>
          <w:rFonts w:ascii="Arial" w:hAnsi="Arial" w:cs="Arial"/>
        </w:rPr>
        <w:t xml:space="preserve"> personal y social, y del conocimiento y la cultura, tanto de los estudiantes como del conjunto de la comunidad educativa, debemos tener presente lo siguie</w:t>
      </w:r>
      <w:r w:rsidRPr="00A96E01">
        <w:rPr>
          <w:rFonts w:ascii="Arial" w:hAnsi="Arial" w:cs="Arial"/>
        </w:rPr>
        <w:t>nte:</w:t>
      </w:r>
    </w:p>
    <w:p w:rsidR="00394F92" w:rsidRPr="00A96E01" w:rsidRDefault="00394F92">
      <w:pPr>
        <w:ind w:left="425"/>
        <w:jc w:val="both"/>
        <w:rPr>
          <w:rFonts w:ascii="Arial" w:hAnsi="Arial" w:cs="Arial"/>
        </w:rPr>
      </w:pPr>
    </w:p>
    <w:p w:rsidR="00394F92" w:rsidRPr="00A96E01" w:rsidRDefault="00DE49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 xml:space="preserve">Entre las competencias que los/as estudiantes debiesen desarrollar encontramos la flexibilidad, el trabajo en equipo, la </w:t>
      </w:r>
      <w:proofErr w:type="spellStart"/>
      <w:r w:rsidRPr="00A96E01">
        <w:rPr>
          <w:rFonts w:ascii="Arial" w:hAnsi="Arial" w:cs="Arial"/>
        </w:rPr>
        <w:t>innovación</w:t>
      </w:r>
      <w:proofErr w:type="spellEnd"/>
      <w:r w:rsidRPr="00A96E01">
        <w:rPr>
          <w:rFonts w:ascii="Arial" w:hAnsi="Arial" w:cs="Arial"/>
        </w:rPr>
        <w:t xml:space="preserve"> y el aprender a aprender. Lo anterior implica procesos en los cuales la convivencia escolar jugará un rol relevante.</w:t>
      </w:r>
    </w:p>
    <w:p w:rsidR="00394F92" w:rsidRPr="00A96E01" w:rsidRDefault="00394F92">
      <w:pPr>
        <w:ind w:left="425"/>
        <w:jc w:val="both"/>
        <w:rPr>
          <w:rFonts w:ascii="Arial" w:hAnsi="Arial" w:cs="Arial"/>
          <w:color w:val="FF0000"/>
        </w:rPr>
      </w:pPr>
    </w:p>
    <w:p w:rsidR="00394F92" w:rsidRPr="00A96E01" w:rsidRDefault="00DE49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Todos los miembros de la comunidad educativa son responsables y beneficiarios de una buena convivencia, por ende, como institución estamos convocados a considerar la convivencia escolar como un aprendizaje en sí mismo para la formación integral de los y l</w:t>
      </w:r>
      <w:r w:rsidRPr="00A96E01">
        <w:rPr>
          <w:rFonts w:ascii="Arial" w:hAnsi="Arial" w:cs="Arial"/>
        </w:rPr>
        <w:t>as estudiantes.</w:t>
      </w:r>
    </w:p>
    <w:p w:rsidR="00394F92" w:rsidRPr="00A96E01" w:rsidRDefault="00394F92">
      <w:pPr>
        <w:ind w:left="720"/>
        <w:jc w:val="both"/>
        <w:rPr>
          <w:rFonts w:ascii="Arial" w:hAnsi="Arial" w:cs="Arial"/>
        </w:rPr>
      </w:pPr>
    </w:p>
    <w:p w:rsidR="00394F92" w:rsidRPr="00A96E01" w:rsidRDefault="00DE498C">
      <w:pPr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Los miembros de la comunidad educativa debemos promover y fortalecer relaciones en base a un trato respetuoso en los diversos espacios de la vida escolar. Se considera trato respetuoso “una relación justa, en el reconocimiento y valoración</w:t>
      </w:r>
      <w:r w:rsidRPr="00A96E01">
        <w:rPr>
          <w:rFonts w:ascii="Arial" w:hAnsi="Arial" w:cs="Arial"/>
        </w:rPr>
        <w:t xml:space="preserve"> positiva de las personas y en conductas, actitudes y hábitos básicos de cortesía y amabilidad como saludar, dar las gracias, pedir por favor, pedir permiso, disculparse cuando se comete un error, respetar turnos, no interrumpir, cuidar los espacios comune</w:t>
      </w:r>
      <w:r w:rsidRPr="00A96E01">
        <w:rPr>
          <w:rFonts w:ascii="Arial" w:hAnsi="Arial" w:cs="Arial"/>
        </w:rPr>
        <w:t xml:space="preserve">s, no hablar mal de las demás personas, utilizar un lenguaje y modales adecuados para el contexto, </w:t>
      </w:r>
      <w:proofErr w:type="spellStart"/>
      <w:r w:rsidRPr="00A96E01">
        <w:rPr>
          <w:rFonts w:ascii="Arial" w:hAnsi="Arial" w:cs="Arial"/>
        </w:rPr>
        <w:t>etc</w:t>
      </w:r>
      <w:proofErr w:type="spellEnd"/>
      <w:r w:rsidRPr="00A96E01">
        <w:rPr>
          <w:rFonts w:ascii="Arial" w:hAnsi="Arial" w:cs="Arial"/>
        </w:rPr>
        <w:t>” (PNCE, 2019, p. 13).</w:t>
      </w:r>
    </w:p>
    <w:p w:rsidR="00394F92" w:rsidRPr="00A96E01" w:rsidRDefault="00DE498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 xml:space="preserve">Se debe propender una convivencia inclusiva en la cual se reconozca y respete la diversidad cultural, social, personal y de género </w:t>
      </w:r>
      <w:r w:rsidRPr="00A96E01">
        <w:rPr>
          <w:rFonts w:ascii="Arial" w:hAnsi="Arial" w:cs="Arial"/>
        </w:rPr>
        <w:t>en sus múltiples dimensiones.</w:t>
      </w:r>
    </w:p>
    <w:p w:rsidR="00394F92" w:rsidRPr="00A96E01" w:rsidRDefault="00394F92">
      <w:pPr>
        <w:rPr>
          <w:rFonts w:ascii="Arial" w:hAnsi="Arial" w:cs="Arial"/>
          <w:color w:val="9900FF"/>
        </w:rPr>
      </w:pPr>
    </w:p>
    <w:p w:rsidR="00394F92" w:rsidRPr="00A96E01" w:rsidRDefault="00394F92">
      <w:pPr>
        <w:ind w:left="426"/>
        <w:rPr>
          <w:rFonts w:ascii="Arial" w:hAnsi="Arial" w:cs="Arial"/>
          <w:color w:val="9900FF"/>
        </w:rPr>
      </w:pPr>
    </w:p>
    <w:p w:rsidR="00394F92" w:rsidRPr="00A96E01" w:rsidRDefault="00DE498C">
      <w:pPr>
        <w:ind w:left="425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A su vez, tal y como dicta el sistema de educación pública chileno</w:t>
      </w:r>
      <w:r w:rsidRPr="00A96E01">
        <w:rPr>
          <w:rFonts w:ascii="Arial" w:hAnsi="Arial" w:cs="Arial"/>
          <w:vertAlign w:val="superscript"/>
        </w:rPr>
        <w:footnoteReference w:id="2"/>
      </w:r>
      <w:r w:rsidRPr="00A96E01">
        <w:rPr>
          <w:rFonts w:ascii="Arial" w:hAnsi="Arial" w:cs="Arial"/>
        </w:rPr>
        <w:t xml:space="preserve"> (Ley </w:t>
      </w:r>
      <w:proofErr w:type="spellStart"/>
      <w:r w:rsidRPr="00A96E01">
        <w:rPr>
          <w:rFonts w:ascii="Arial" w:hAnsi="Arial" w:cs="Arial"/>
        </w:rPr>
        <w:t>N°</w:t>
      </w:r>
      <w:proofErr w:type="spellEnd"/>
      <w:r w:rsidRPr="00A96E01">
        <w:rPr>
          <w:rFonts w:ascii="Arial" w:hAnsi="Arial" w:cs="Arial"/>
        </w:rPr>
        <w:t xml:space="preserve"> 21.040), el Instituto Superior de Comercio comprende como pilares fundamentales en la labor educativa la </w:t>
      </w:r>
      <w:r w:rsidRPr="00A96E01">
        <w:rPr>
          <w:rFonts w:ascii="Arial" w:hAnsi="Arial" w:cs="Arial"/>
          <w:b/>
        </w:rPr>
        <w:t>calidad integra</w:t>
      </w:r>
      <w:r w:rsidRPr="00A96E01">
        <w:rPr>
          <w:rFonts w:ascii="Arial" w:hAnsi="Arial" w:cs="Arial"/>
        </w:rPr>
        <w:t>l, en cuanto busca que los y</w:t>
      </w:r>
      <w:r w:rsidRPr="00A96E01">
        <w:rPr>
          <w:rFonts w:ascii="Arial" w:hAnsi="Arial" w:cs="Arial"/>
        </w:rPr>
        <w:t xml:space="preserve"> las estudiantes puedan acceder a oportunidades de aprendizaje y puedan desarrollarse como personas integrales (PEI), siendo un aporte a la sociedad;  </w:t>
      </w:r>
      <w:r w:rsidRPr="00A96E01">
        <w:rPr>
          <w:rFonts w:ascii="Arial" w:hAnsi="Arial" w:cs="Arial"/>
          <w:b/>
        </w:rPr>
        <w:t>la mejora continua de la calidad</w:t>
      </w:r>
      <w:r w:rsidRPr="00A96E01">
        <w:rPr>
          <w:rFonts w:ascii="Arial" w:hAnsi="Arial" w:cs="Arial"/>
        </w:rPr>
        <w:t>, contemplando un mejoramiento de los procesos, mediante la implementació</w:t>
      </w:r>
      <w:r w:rsidRPr="00A96E01">
        <w:rPr>
          <w:rFonts w:ascii="Arial" w:hAnsi="Arial" w:cs="Arial"/>
        </w:rPr>
        <w:t xml:space="preserve">n de acciones necesarias para alcanzar los estándares que garanticen una educación inclusiva;    </w:t>
      </w:r>
      <w:r w:rsidRPr="00A96E01">
        <w:rPr>
          <w:rFonts w:ascii="Arial" w:hAnsi="Arial" w:cs="Arial"/>
          <w:b/>
        </w:rPr>
        <w:t>garantía al acceso</w:t>
      </w:r>
      <w:r w:rsidRPr="00A96E01">
        <w:rPr>
          <w:rFonts w:ascii="Arial" w:hAnsi="Arial" w:cs="Arial"/>
        </w:rPr>
        <w:t>, mediante el fortalecimiento del Equipo PIE; quien acompaña a estudiantes con necesidades educativas especiales y por sobre todo, permitiend</w:t>
      </w:r>
      <w:r w:rsidRPr="00A96E01">
        <w:rPr>
          <w:rFonts w:ascii="Arial" w:hAnsi="Arial" w:cs="Arial"/>
        </w:rPr>
        <w:t xml:space="preserve">o el ingreso de todos y todas al sistema educativo; desarrollo equitativo e igualdad de oportunidades, inclusión, pertinencia social, integración con el entorno y la comunidad, colaboración y trabajo en red. </w:t>
      </w:r>
    </w:p>
    <w:p w:rsidR="00394F92" w:rsidRPr="00A96E01" w:rsidRDefault="00394F92">
      <w:pPr>
        <w:ind w:left="425"/>
        <w:jc w:val="both"/>
        <w:rPr>
          <w:rFonts w:ascii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En cuanto a otro de los principios de la ley 2</w:t>
      </w:r>
      <w:r w:rsidRPr="00A96E01">
        <w:rPr>
          <w:rFonts w:ascii="Arial" w:hAnsi="Arial" w:cs="Arial"/>
        </w:rPr>
        <w:t xml:space="preserve">1.040, el cual se refiere al </w:t>
      </w:r>
      <w:r w:rsidRPr="00A96E01">
        <w:rPr>
          <w:rFonts w:ascii="Arial" w:hAnsi="Arial" w:cs="Arial"/>
          <w:b/>
        </w:rPr>
        <w:t>desarrollo equitativo y a la igualdad de oportunidades</w:t>
      </w:r>
      <w:r w:rsidRPr="00A96E01">
        <w:rPr>
          <w:rFonts w:ascii="Arial" w:hAnsi="Arial" w:cs="Arial"/>
        </w:rPr>
        <w:t xml:space="preserve">, el equipo de Convivencia escolar del </w:t>
      </w:r>
      <w:proofErr w:type="spellStart"/>
      <w:r w:rsidRPr="00A96E01">
        <w:rPr>
          <w:rFonts w:ascii="Arial" w:hAnsi="Arial" w:cs="Arial"/>
        </w:rPr>
        <w:t>Insuco</w:t>
      </w:r>
      <w:proofErr w:type="spellEnd"/>
      <w:r w:rsidRPr="00A96E01">
        <w:rPr>
          <w:rFonts w:ascii="Arial" w:hAnsi="Arial" w:cs="Arial"/>
        </w:rPr>
        <w:t xml:space="preserve"> tiene como misión buscar los apoyos necesarios, mediante diversas derivaciones, ya sea dentro del </w:t>
      </w:r>
      <w:r w:rsidRPr="00A96E01">
        <w:rPr>
          <w:rFonts w:ascii="Arial" w:hAnsi="Arial" w:cs="Arial"/>
        </w:rPr>
        <w:lastRenderedPageBreak/>
        <w:t>establecimiento como a progra</w:t>
      </w:r>
      <w:r w:rsidRPr="00A96E01">
        <w:rPr>
          <w:rFonts w:ascii="Arial" w:hAnsi="Arial" w:cs="Arial"/>
        </w:rPr>
        <w:t xml:space="preserve">mas fuera de este, con la finalidad de acortar la brecha y compensar las desigualdades de origen o condición social. A su vez, resulta fundamental mantener un seguimiento de estos estudiantes, mediante el </w:t>
      </w:r>
      <w:r w:rsidRPr="00A96E01">
        <w:rPr>
          <w:rFonts w:ascii="Arial" w:hAnsi="Arial" w:cs="Arial"/>
          <w:b/>
        </w:rPr>
        <w:t>trabajo colaborativo y en red</w:t>
      </w:r>
      <w:r w:rsidRPr="00A96E01">
        <w:rPr>
          <w:rFonts w:ascii="Arial" w:hAnsi="Arial" w:cs="Arial"/>
        </w:rPr>
        <w:t xml:space="preserve"> de manera permanente,</w:t>
      </w:r>
      <w:r w:rsidRPr="00A96E01">
        <w:rPr>
          <w:rFonts w:ascii="Arial" w:hAnsi="Arial" w:cs="Arial"/>
        </w:rPr>
        <w:t xml:space="preserve"> con las diferentes instituciones y servicios, fomentando el intercambio de información fuera y dentro de la comunidad educativa. </w:t>
      </w:r>
    </w:p>
    <w:p w:rsidR="00394F92" w:rsidRPr="00A96E01" w:rsidRDefault="00394F92">
      <w:pPr>
        <w:ind w:left="425"/>
        <w:jc w:val="both"/>
        <w:rPr>
          <w:rFonts w:ascii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 xml:space="preserve">Por otro lado, el </w:t>
      </w:r>
      <w:proofErr w:type="spellStart"/>
      <w:r w:rsidRPr="00A96E01">
        <w:rPr>
          <w:rFonts w:ascii="Arial" w:hAnsi="Arial" w:cs="Arial"/>
        </w:rPr>
        <w:t>Insuco</w:t>
      </w:r>
      <w:proofErr w:type="spellEnd"/>
      <w:r w:rsidRPr="00A96E01">
        <w:rPr>
          <w:rFonts w:ascii="Arial" w:hAnsi="Arial" w:cs="Arial"/>
        </w:rPr>
        <w:t xml:space="preserve"> cuenta con un </w:t>
      </w:r>
      <w:r w:rsidRPr="00A96E01">
        <w:rPr>
          <w:rFonts w:ascii="Arial" w:hAnsi="Arial" w:cs="Arial"/>
          <w:b/>
        </w:rPr>
        <w:t>Proyecto educativo inclusivo, laico y con énfasis en la Formación Ciudadana</w:t>
      </w:r>
      <w:r w:rsidRPr="00A96E01">
        <w:rPr>
          <w:rFonts w:ascii="Arial" w:hAnsi="Arial" w:cs="Arial"/>
        </w:rPr>
        <w:t>. Se busca</w:t>
      </w:r>
      <w:r w:rsidRPr="00A96E01">
        <w:rPr>
          <w:rFonts w:ascii="Arial" w:hAnsi="Arial" w:cs="Arial"/>
        </w:rPr>
        <w:t xml:space="preserve"> dar cumplimiento a este principio mediante la elaboración y ejecución del plan de Inclusión y el plan de formación ciudadana. El primero, propone acciones para disminuir el trato discriminatorio en todos los espacios educativos y generar espacios de parti</w:t>
      </w:r>
      <w:r w:rsidRPr="00A96E01">
        <w:rPr>
          <w:rFonts w:ascii="Arial" w:hAnsi="Arial" w:cs="Arial"/>
        </w:rPr>
        <w:t xml:space="preserve">cipación de las diversidades. En cuanto al plan de formación ciudadana tiene como objetivo fomentar la participación de todos los miembros de la comunidad educativa. </w:t>
      </w:r>
    </w:p>
    <w:p w:rsidR="00394F92" w:rsidRPr="00A96E01" w:rsidRDefault="00394F92">
      <w:pPr>
        <w:ind w:left="425"/>
        <w:jc w:val="both"/>
        <w:rPr>
          <w:rFonts w:ascii="Arial" w:hAnsi="Arial" w:cs="Arial"/>
        </w:rPr>
      </w:pPr>
    </w:p>
    <w:p w:rsidR="00394F92" w:rsidRPr="00A96E01" w:rsidRDefault="00DE498C">
      <w:pPr>
        <w:ind w:left="425"/>
        <w:jc w:val="both"/>
        <w:rPr>
          <w:rFonts w:ascii="Arial" w:eastAsia="Arial" w:hAnsi="Arial" w:cs="Arial"/>
        </w:rPr>
      </w:pPr>
      <w:r w:rsidRPr="00A96E01">
        <w:rPr>
          <w:rFonts w:ascii="Arial" w:hAnsi="Arial" w:cs="Arial"/>
        </w:rPr>
        <w:t>Bajo esta misma ley (artículo 10), el presente PGCE considera relevante el desarrollo pr</w:t>
      </w:r>
      <w:r w:rsidRPr="00A96E01">
        <w:rPr>
          <w:rFonts w:ascii="Arial" w:hAnsi="Arial" w:cs="Arial"/>
        </w:rPr>
        <w:t>ofesional continuo de los y las trabajadoras de la educación en torno a las necesidades del establecimiento, el PEI y el plan de mejoramiento educativo. Se visualiza, como un principal requerimiento actualizar los conocimientos acerca de las normativas que</w:t>
      </w:r>
      <w:r w:rsidRPr="00A96E01">
        <w:rPr>
          <w:rFonts w:ascii="Arial" w:hAnsi="Arial" w:cs="Arial"/>
        </w:rPr>
        <w:t xml:space="preserve"> tienen relación con la inclusión y adquisición de herramientas en cuanto contención emocional, manejo en situaciones de crisis y otras temáticas contingentes</w:t>
      </w:r>
      <w:r w:rsidRPr="00A96E01">
        <w:rPr>
          <w:rFonts w:ascii="Arial" w:eastAsia="Arial" w:hAnsi="Arial" w:cs="Arial"/>
        </w:rPr>
        <w:t xml:space="preserve">. A su vez, de acuerdo a este artículo, el PGCE debe plantear </w:t>
      </w:r>
      <w:proofErr w:type="gramStart"/>
      <w:r w:rsidRPr="00A96E01">
        <w:rPr>
          <w:rFonts w:ascii="Arial" w:eastAsia="Arial" w:hAnsi="Arial" w:cs="Arial"/>
        </w:rPr>
        <w:t>al  Equipo</w:t>
      </w:r>
      <w:proofErr w:type="gramEnd"/>
      <w:r w:rsidRPr="00A96E01">
        <w:rPr>
          <w:rFonts w:ascii="Arial" w:eastAsia="Arial" w:hAnsi="Arial" w:cs="Arial"/>
        </w:rPr>
        <w:t xml:space="preserve"> Directivo la actualizació</w:t>
      </w:r>
      <w:r w:rsidRPr="00A96E01">
        <w:rPr>
          <w:rFonts w:ascii="Arial" w:eastAsia="Arial" w:hAnsi="Arial" w:cs="Arial"/>
        </w:rPr>
        <w:t>n del proyecto educativo institucional del establecimiento y sus modificaciones, el que deberá ser expresión de la diversidad de la comunidad escolar, consultando previamente al consejo escolar y al consejo de profesores respectivo, de acuerdo a la normati</w:t>
      </w:r>
      <w:r w:rsidRPr="00A96E01">
        <w:rPr>
          <w:rFonts w:ascii="Arial" w:eastAsia="Arial" w:hAnsi="Arial" w:cs="Arial"/>
        </w:rPr>
        <w:t xml:space="preserve">va vigente. </w:t>
      </w:r>
    </w:p>
    <w:p w:rsidR="00394F92" w:rsidRPr="00A96E01" w:rsidRDefault="00394F92">
      <w:pPr>
        <w:ind w:left="-567"/>
        <w:rPr>
          <w:rFonts w:ascii="Arial" w:hAnsi="Arial" w:cs="Arial"/>
        </w:rPr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AC469E" w:rsidRDefault="00AC469E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</w:pPr>
    </w:p>
    <w:p w:rsidR="00394F92" w:rsidRDefault="00394F92">
      <w:pPr>
        <w:ind w:left="-567"/>
        <w:rPr>
          <w:color w:val="9900FF"/>
        </w:rPr>
      </w:pPr>
    </w:p>
    <w:p w:rsidR="00394F92" w:rsidRDefault="00DE498C">
      <w:pPr>
        <w:rPr>
          <w:b/>
          <w:sz w:val="32"/>
          <w:szCs w:val="32"/>
        </w:rPr>
      </w:pPr>
      <w:r>
        <w:rPr>
          <w:b/>
          <w:sz w:val="32"/>
          <w:szCs w:val="32"/>
        </w:rPr>
        <w:t>IV. Marco conceptual, contextualización y enfoque del Plan de Gestión de la Convivencia Escolar</w:t>
      </w:r>
    </w:p>
    <w:p w:rsidR="00394F92" w:rsidRDefault="00394F92">
      <w:pPr>
        <w:ind w:left="-567"/>
      </w:pPr>
    </w:p>
    <w:p w:rsidR="00394F92" w:rsidRPr="00A96E01" w:rsidRDefault="00DE498C">
      <w:pPr>
        <w:ind w:left="283"/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 xml:space="preserve">La convivencia escolar se refiere a la calidad de las relaciones entre todos los miembros de la comunidad educativa. Es también la capacidad de las personas de vivir y convivir unas con otras. Esta capacidad se desarrolla y aprende. Los distintos espacios </w:t>
      </w:r>
      <w:r w:rsidRPr="00A96E01">
        <w:rPr>
          <w:rFonts w:ascii="Arial" w:hAnsi="Arial" w:cs="Arial"/>
        </w:rPr>
        <w:t>de encuentro y formación que la escuela ofrece a sus integrantes aportan en la construcción de la convivencia.</w:t>
      </w:r>
    </w:p>
    <w:p w:rsidR="00394F92" w:rsidRPr="00A96E01" w:rsidRDefault="00394F92">
      <w:pPr>
        <w:ind w:left="283"/>
        <w:rPr>
          <w:rFonts w:ascii="Arial" w:hAnsi="Arial" w:cs="Arial"/>
        </w:rPr>
      </w:pPr>
    </w:p>
    <w:p w:rsidR="00394F92" w:rsidRPr="00A96E01" w:rsidRDefault="00DE498C">
      <w:pPr>
        <w:ind w:left="283"/>
        <w:rPr>
          <w:rFonts w:ascii="Arial" w:hAnsi="Arial" w:cs="Arial"/>
          <w:b/>
        </w:rPr>
      </w:pPr>
      <w:r w:rsidRPr="00A96E01">
        <w:rPr>
          <w:rFonts w:ascii="Arial" w:hAnsi="Arial" w:cs="Arial"/>
          <w:b/>
        </w:rPr>
        <w:t>Contextualización del establecimiento</w:t>
      </w:r>
    </w:p>
    <w:p w:rsidR="00394F92" w:rsidRPr="00A96E01" w:rsidRDefault="00394F92">
      <w:pPr>
        <w:ind w:left="283"/>
        <w:rPr>
          <w:rFonts w:ascii="Arial" w:hAnsi="Arial" w:cs="Arial"/>
          <w:highlight w:val="red"/>
        </w:rPr>
      </w:pPr>
    </w:p>
    <w:p w:rsidR="00394F92" w:rsidRPr="00A96E01" w:rsidRDefault="00DE498C">
      <w:pPr>
        <w:ind w:left="283"/>
        <w:jc w:val="both"/>
        <w:rPr>
          <w:rFonts w:ascii="Arial" w:eastAsia="Arial" w:hAnsi="Arial" w:cs="Arial"/>
          <w:highlight w:val="white"/>
        </w:rPr>
      </w:pPr>
      <w:r w:rsidRPr="00A96E01">
        <w:rPr>
          <w:rFonts w:ascii="Arial" w:eastAsia="Arial" w:hAnsi="Arial" w:cs="Arial"/>
          <w:highlight w:val="white"/>
        </w:rPr>
        <w:t>Desde 1936 los y las estudiantes han sido parte del desarrollo de la industria, la banca y el comercio ma</w:t>
      </w:r>
      <w:r w:rsidRPr="00A96E01">
        <w:rPr>
          <w:rFonts w:ascii="Arial" w:eastAsia="Arial" w:hAnsi="Arial" w:cs="Arial"/>
          <w:highlight w:val="white"/>
        </w:rPr>
        <w:t xml:space="preserve">gallánico. </w:t>
      </w:r>
      <w:r w:rsidRPr="00A96E01">
        <w:rPr>
          <w:rFonts w:ascii="Arial" w:eastAsia="Roboto" w:hAnsi="Arial" w:cs="Arial"/>
          <w:highlight w:val="white"/>
        </w:rPr>
        <w:t>El plantel nació como curso de Comercio anexo al Liceo de Hombres, con un primer año de segundo grado diurno y otro nocturno de la misma categoría. Sus fundadores fueron los profesores Enrique San Martín Riffo, Héctor Araya Santis y Doña Olga Pi</w:t>
      </w:r>
      <w:r w:rsidRPr="00A96E01">
        <w:rPr>
          <w:rFonts w:ascii="Arial" w:eastAsia="Roboto" w:hAnsi="Arial" w:cs="Arial"/>
          <w:highlight w:val="white"/>
        </w:rPr>
        <w:t xml:space="preserve">no Álvarez. En abril de 1940 los cursos comerciales del liceo se transformaron en el actual Instituto Comercial siendo su fundador y primer </w:t>
      </w:r>
      <w:proofErr w:type="gramStart"/>
      <w:r w:rsidRPr="00A96E01">
        <w:rPr>
          <w:rFonts w:ascii="Arial" w:eastAsia="Roboto" w:hAnsi="Arial" w:cs="Arial"/>
          <w:highlight w:val="white"/>
        </w:rPr>
        <w:t>Director</w:t>
      </w:r>
      <w:proofErr w:type="gramEnd"/>
      <w:r w:rsidRPr="00A96E01">
        <w:rPr>
          <w:rFonts w:ascii="Arial" w:eastAsia="Roboto" w:hAnsi="Arial" w:cs="Arial"/>
          <w:highlight w:val="white"/>
        </w:rPr>
        <w:t xml:space="preserve"> Luis Acevedo Valdés. El Instituto Comercial trasladó sus dependencias a un edificio ubicado en calle Pedro </w:t>
      </w:r>
      <w:r w:rsidRPr="00A96E01">
        <w:rPr>
          <w:rFonts w:ascii="Arial" w:eastAsia="Roboto" w:hAnsi="Arial" w:cs="Arial"/>
          <w:highlight w:val="white"/>
        </w:rPr>
        <w:t>Montt.  Sin embargo, en junio de 1953, contarían con edificio propio, el cual alberga hasta los días de hoy a estudiantes y profesores, en Magallanes #</w:t>
      </w:r>
      <w:proofErr w:type="gramStart"/>
      <w:r w:rsidRPr="00A96E01">
        <w:rPr>
          <w:rFonts w:ascii="Arial" w:eastAsia="Roboto" w:hAnsi="Arial" w:cs="Arial"/>
          <w:highlight w:val="white"/>
        </w:rPr>
        <w:t xml:space="preserve">847, </w:t>
      </w:r>
      <w:r w:rsidRPr="00A96E01">
        <w:rPr>
          <w:rFonts w:ascii="Arial" w:eastAsia="Arial" w:hAnsi="Arial" w:cs="Arial"/>
          <w:highlight w:val="white"/>
        </w:rPr>
        <w:t xml:space="preserve"> en</w:t>
      </w:r>
      <w:proofErr w:type="gramEnd"/>
      <w:r w:rsidRPr="00A96E01">
        <w:rPr>
          <w:rFonts w:ascii="Arial" w:eastAsia="Arial" w:hAnsi="Arial" w:cs="Arial"/>
          <w:highlight w:val="white"/>
        </w:rPr>
        <w:t xml:space="preserve"> pleno centro de la ciudad.</w:t>
      </w:r>
    </w:p>
    <w:p w:rsidR="00394F92" w:rsidRPr="00A96E01" w:rsidRDefault="00394F92">
      <w:pPr>
        <w:ind w:left="283"/>
        <w:jc w:val="both"/>
        <w:rPr>
          <w:rFonts w:ascii="Arial" w:eastAsia="Arial" w:hAnsi="Arial" w:cs="Arial"/>
          <w:highlight w:val="white"/>
        </w:rPr>
      </w:pPr>
    </w:p>
    <w:p w:rsidR="00394F92" w:rsidRPr="00A96E01" w:rsidRDefault="00DE498C">
      <w:pPr>
        <w:ind w:left="283"/>
        <w:jc w:val="both"/>
        <w:rPr>
          <w:rFonts w:ascii="Arial" w:eastAsia="Arial" w:hAnsi="Arial" w:cs="Arial"/>
          <w:highlight w:val="white"/>
        </w:rPr>
      </w:pPr>
      <w:r w:rsidRPr="00A96E01">
        <w:rPr>
          <w:rFonts w:ascii="Arial" w:hAnsi="Arial" w:cs="Arial"/>
        </w:rPr>
        <w:t>En la actualidad, el Instituto Superior de Comercio de Punta Arenas,</w:t>
      </w:r>
      <w:r w:rsidRPr="00A96E01">
        <w:rPr>
          <w:rFonts w:ascii="Arial" w:hAnsi="Arial" w:cs="Arial"/>
        </w:rPr>
        <w:t xml:space="preserve"> es una Institución Educacional del área del Comercio tanto en</w:t>
      </w:r>
      <w:r w:rsidRPr="00A96E01">
        <w:rPr>
          <w:rFonts w:ascii="Arial" w:eastAsia="Arial" w:hAnsi="Arial" w:cs="Arial"/>
        </w:rPr>
        <w:t xml:space="preserve"> la contabilidad como la administración, incluyendo en 2024 la nueva especialidad de Conectividad y Redes, ampliando así la oferta académica a jóvenes de la Región de Magallanes. </w:t>
      </w:r>
      <w:r w:rsidRPr="00A96E01">
        <w:rPr>
          <w:rFonts w:ascii="Arial" w:eastAsia="Arial" w:hAnsi="Arial" w:cs="Arial"/>
          <w:highlight w:val="white"/>
        </w:rPr>
        <w:t xml:space="preserve">En el presente </w:t>
      </w:r>
      <w:r w:rsidRPr="00A96E01">
        <w:rPr>
          <w:rFonts w:ascii="Arial" w:eastAsia="Arial" w:hAnsi="Arial" w:cs="Arial"/>
          <w:highlight w:val="white"/>
        </w:rPr>
        <w:t>año, cuenta con una matrícula de 525 estudiantes, tanto en jornada diurna como vespertina. Por otro lado, el establecimiento cumple un rol fundamental en la sociedad, dando oportunidades a jóvenes con alto índice de vulnerabilidad. En la Enseñanza Media, e</w:t>
      </w:r>
      <w:r w:rsidRPr="00A96E01">
        <w:rPr>
          <w:rFonts w:ascii="Arial" w:eastAsia="Arial" w:hAnsi="Arial" w:cs="Arial"/>
          <w:highlight w:val="white"/>
        </w:rPr>
        <w:t>l IVE es de un 85% y en Enseñanza Básica es de un 91% (2022).</w:t>
      </w:r>
    </w:p>
    <w:p w:rsidR="00394F92" w:rsidRDefault="00394F92">
      <w:pPr>
        <w:ind w:left="-567"/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AC469E" w:rsidRDefault="00AC469E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394F92">
      <w:pPr>
        <w:ind w:left="-283"/>
        <w:rPr>
          <w:b/>
          <w:sz w:val="32"/>
          <w:szCs w:val="32"/>
        </w:rPr>
      </w:pPr>
    </w:p>
    <w:p w:rsidR="00394F92" w:rsidRDefault="00DE498C">
      <w:pPr>
        <w:ind w:left="-28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V. Elementos del Proyecto Educativo Institucional para considerar en el PGCE</w:t>
      </w:r>
    </w:p>
    <w:p w:rsidR="00394F92" w:rsidRDefault="00394F92">
      <w:pPr>
        <w:ind w:left="-567"/>
      </w:pPr>
    </w:p>
    <w:p w:rsidR="00394F92" w:rsidRDefault="00394F92">
      <w:pPr>
        <w:ind w:left="-567"/>
      </w:pPr>
    </w:p>
    <w:tbl>
      <w:tblPr>
        <w:tblStyle w:val="a0"/>
        <w:tblW w:w="10168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8"/>
      </w:tblGrid>
      <w:tr w:rsidR="00394F92">
        <w:tc>
          <w:tcPr>
            <w:tcW w:w="101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ind w:left="283"/>
            </w:pPr>
            <w:r>
              <w:rPr>
                <w:b/>
              </w:rPr>
              <w:t>Visión del Establecimiento</w:t>
            </w:r>
          </w:p>
        </w:tc>
      </w:tr>
      <w:tr w:rsidR="00394F92">
        <w:tc>
          <w:tcPr>
            <w:tcW w:w="10168" w:type="dxa"/>
          </w:tcPr>
          <w:p w:rsidR="00394F92" w:rsidRDefault="00DE498C">
            <w:pPr>
              <w:ind w:left="283"/>
            </w:pPr>
            <w:r>
              <w:t>Somos una institución que forma técnicos de mando medio, implementando un currículum que permita proyectar a nuestros estudiantes en el aspecto valórico, académico y laboral, potenciando el compromiso con el desarrollo de la sociedad actual.</w:t>
            </w:r>
          </w:p>
        </w:tc>
      </w:tr>
      <w:tr w:rsidR="00394F92">
        <w:tc>
          <w:tcPr>
            <w:tcW w:w="101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ind w:left="283"/>
            </w:pPr>
            <w:r>
              <w:rPr>
                <w:b/>
              </w:rPr>
              <w:t>Misión del Establecimiento</w:t>
            </w:r>
          </w:p>
        </w:tc>
      </w:tr>
      <w:tr w:rsidR="00394F92">
        <w:tc>
          <w:tcPr>
            <w:tcW w:w="10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ind w:left="283"/>
            </w:pPr>
            <w:r>
              <w:t xml:space="preserve">Formar técnicos de mando medio a través de la implementación del currículum de las especialidades de Contabilidad y Administración. Potenciar el desarrollo valórico inserto en el currículum, para cautelar un proyecto de vida en </w:t>
            </w:r>
            <w:r>
              <w:t>cada uno de nuestros estudiantes, que les permita continuar estudios o insertarse en el campo laboral.</w:t>
            </w:r>
          </w:p>
        </w:tc>
      </w:tr>
      <w:tr w:rsidR="00394F92">
        <w:tc>
          <w:tcPr>
            <w:tcW w:w="1016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ind w:left="283"/>
            </w:pPr>
            <w:r>
              <w:rPr>
                <w:b/>
              </w:rPr>
              <w:t>Sellos educativos del Establecimiento</w:t>
            </w:r>
          </w:p>
        </w:tc>
      </w:tr>
      <w:tr w:rsidR="00394F92">
        <w:tc>
          <w:tcPr>
            <w:tcW w:w="10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ind w:left="283"/>
            </w:pPr>
            <w:r>
              <w:t>1. Formar técnicos de nivel medio a través de la implementación del currículum de las especialidades del Área de la Administración y el Comercio.</w:t>
            </w:r>
          </w:p>
          <w:p w:rsidR="00394F92" w:rsidRDefault="00DE498C">
            <w:pPr>
              <w:ind w:left="283"/>
            </w:pPr>
            <w:r>
              <w:t>2. Orientar el perfil del estudiante hacia la continuidad de estudios o hacia su inserción en el campo laboral</w:t>
            </w:r>
            <w:r>
              <w:t>.</w:t>
            </w:r>
          </w:p>
          <w:p w:rsidR="00394F92" w:rsidRDefault="00DE498C">
            <w:pPr>
              <w:ind w:left="283"/>
            </w:pPr>
            <w:r>
              <w:t>3. Actualizar las competencias docentes de acuerdo a las necesidades del currículum del establecimiento.</w:t>
            </w:r>
          </w:p>
          <w:p w:rsidR="00394F92" w:rsidRDefault="00DE498C">
            <w:pPr>
              <w:ind w:left="283"/>
            </w:pPr>
            <w:r>
              <w:t>4. Potenciar el desarrollo valórico inserto en el currículum para cautelar un proyecto de vida en cada uno de nuestros estudiantes</w:t>
            </w:r>
          </w:p>
          <w:p w:rsidR="00394F92" w:rsidRDefault="00DE498C">
            <w:pPr>
              <w:ind w:left="283"/>
            </w:pPr>
            <w:r>
              <w:t xml:space="preserve">5. Fortalecer las </w:t>
            </w:r>
            <w:r>
              <w:t>redes de apoyo con el mundo productivo en el área de la administración y el comercio y la educación superior.</w:t>
            </w:r>
          </w:p>
          <w:p w:rsidR="00394F92" w:rsidRDefault="00DE498C">
            <w:pPr>
              <w:ind w:left="283"/>
            </w:pPr>
            <w:r>
              <w:t>6. Implementación de un Plan de Contención Emocional</w:t>
            </w:r>
          </w:p>
        </w:tc>
      </w:tr>
    </w:tbl>
    <w:p w:rsidR="00394F92" w:rsidRDefault="00394F92">
      <w:pPr>
        <w:ind w:left="-567"/>
      </w:pPr>
    </w:p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394F92" w:rsidRDefault="00394F92"/>
    <w:p w:rsidR="00AC469E" w:rsidRDefault="00AC469E"/>
    <w:p w:rsidR="00AC469E" w:rsidRDefault="00AC469E"/>
    <w:p w:rsidR="00AC469E" w:rsidRDefault="00AC469E"/>
    <w:p w:rsidR="00AC469E" w:rsidRDefault="00AC469E"/>
    <w:p w:rsidR="00AC469E" w:rsidRDefault="00AC469E"/>
    <w:p w:rsidR="00394F92" w:rsidRDefault="00394F92"/>
    <w:p w:rsidR="00394F92" w:rsidRDefault="00394F92"/>
    <w:p w:rsidR="00394F92" w:rsidRDefault="00DE49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VI. Objetivos en Plan Gestión de la Convivencia Escolar</w:t>
      </w:r>
    </w:p>
    <w:p w:rsidR="00394F92" w:rsidRDefault="00394F92"/>
    <w:p w:rsidR="00394F92" w:rsidRPr="00A96E01" w:rsidRDefault="00DE498C">
      <w:pPr>
        <w:rPr>
          <w:rFonts w:ascii="Arial" w:hAnsi="Arial" w:cs="Arial"/>
          <w:b/>
        </w:rPr>
      </w:pPr>
      <w:r w:rsidRPr="00A96E01">
        <w:rPr>
          <w:rFonts w:ascii="Arial" w:hAnsi="Arial" w:cs="Arial"/>
          <w:b/>
        </w:rPr>
        <w:t>Objetivo general del plan</w:t>
      </w:r>
    </w:p>
    <w:p w:rsidR="00394F92" w:rsidRPr="00A96E01" w:rsidRDefault="00394F92">
      <w:pPr>
        <w:rPr>
          <w:rFonts w:ascii="Arial" w:hAnsi="Arial" w:cs="Arial"/>
        </w:rPr>
      </w:pPr>
    </w:p>
    <w:p w:rsidR="00394F92" w:rsidRPr="00A96E01" w:rsidRDefault="00DE498C">
      <w:pPr>
        <w:jc w:val="both"/>
        <w:rPr>
          <w:rFonts w:ascii="Arial" w:hAnsi="Arial" w:cs="Arial"/>
          <w:color w:val="9900FF"/>
          <w:sz w:val="26"/>
          <w:szCs w:val="26"/>
        </w:rPr>
      </w:pPr>
      <w:r w:rsidRPr="00A96E01">
        <w:rPr>
          <w:rFonts w:ascii="Arial" w:hAnsi="Arial" w:cs="Arial"/>
          <w:sz w:val="26"/>
          <w:szCs w:val="26"/>
        </w:rPr>
        <w:t xml:space="preserve">Fortalecer la convivencia escolar de la comunidad educativa, mediante la aplicación del Plan de gestión de la Convivencia Escolar, facilitando las condiciones necesarias para la participación democrática e inclusiva, con énfasis </w:t>
      </w:r>
      <w:r w:rsidRPr="00A96E01">
        <w:rPr>
          <w:rFonts w:ascii="Arial" w:hAnsi="Arial" w:cs="Arial"/>
          <w:sz w:val="26"/>
          <w:szCs w:val="26"/>
        </w:rPr>
        <w:t xml:space="preserve">en un trato respetuoso a través de la resolución pacífica de conflictos y el diálogo entre los y las estudiantes. </w:t>
      </w:r>
    </w:p>
    <w:p w:rsidR="00394F92" w:rsidRPr="00A96E01" w:rsidRDefault="00394F92">
      <w:pPr>
        <w:rPr>
          <w:rFonts w:ascii="Arial" w:hAnsi="Arial" w:cs="Arial"/>
          <w:color w:val="9900FF"/>
          <w:sz w:val="26"/>
          <w:szCs w:val="26"/>
        </w:rPr>
      </w:pPr>
    </w:p>
    <w:p w:rsidR="00394F92" w:rsidRPr="00A96E01" w:rsidRDefault="00394F92">
      <w:pPr>
        <w:rPr>
          <w:rFonts w:ascii="Arial" w:hAnsi="Arial" w:cs="Arial"/>
          <w:sz w:val="26"/>
          <w:szCs w:val="26"/>
        </w:rPr>
      </w:pPr>
    </w:p>
    <w:p w:rsidR="00394F92" w:rsidRPr="00A96E01" w:rsidRDefault="00DE498C">
      <w:pPr>
        <w:rPr>
          <w:rFonts w:ascii="Arial" w:hAnsi="Arial" w:cs="Arial"/>
          <w:b/>
          <w:sz w:val="26"/>
          <w:szCs w:val="26"/>
        </w:rPr>
      </w:pPr>
      <w:r w:rsidRPr="00A96E01">
        <w:rPr>
          <w:rFonts w:ascii="Arial" w:hAnsi="Arial" w:cs="Arial"/>
          <w:b/>
          <w:sz w:val="26"/>
          <w:szCs w:val="26"/>
        </w:rPr>
        <w:t>Objetivos específicos</w:t>
      </w:r>
    </w:p>
    <w:p w:rsidR="00394F92" w:rsidRPr="00A96E01" w:rsidRDefault="00394F92">
      <w:pPr>
        <w:rPr>
          <w:rFonts w:ascii="Arial" w:hAnsi="Arial" w:cs="Arial"/>
          <w:sz w:val="26"/>
          <w:szCs w:val="26"/>
        </w:rPr>
      </w:pPr>
    </w:p>
    <w:p w:rsidR="00394F92" w:rsidRPr="00A96E01" w:rsidRDefault="00DE498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Promover los valores declarados en el PEI, identificando las conductas necesarias para lograrlos y las formas de medirlos para su evaluación.</w:t>
      </w:r>
    </w:p>
    <w:p w:rsidR="00394F92" w:rsidRPr="00A96E01" w:rsidRDefault="00394F92">
      <w:pPr>
        <w:ind w:left="720"/>
        <w:jc w:val="both"/>
        <w:rPr>
          <w:rFonts w:ascii="Arial" w:hAnsi="Arial" w:cs="Arial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Promover medidas formativas, restaurativas y preventivas que favorezcan el desarrollo de habilidades sociales y l</w:t>
      </w:r>
      <w:r w:rsidRPr="00A96E01">
        <w:rPr>
          <w:rFonts w:ascii="Arial" w:hAnsi="Arial" w:cs="Arial"/>
        </w:rPr>
        <w:t>a reflexión, para así prevenir medidas punitivas e instaurar una convivencia en base al diálogo y fortalecer valores como el respeto, responsabilidad y empatía que forman parte de nuestro PEI.</w:t>
      </w:r>
    </w:p>
    <w:p w:rsidR="00394F92" w:rsidRPr="00A96E01" w:rsidRDefault="00394F92">
      <w:pPr>
        <w:widowControl w:val="0"/>
        <w:ind w:left="720"/>
        <w:jc w:val="both"/>
        <w:rPr>
          <w:rFonts w:ascii="Arial" w:hAnsi="Arial" w:cs="Arial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Promover los protocolos de actuación entre docentes y asistent</w:t>
      </w:r>
      <w:r w:rsidRPr="00A96E01">
        <w:rPr>
          <w:rFonts w:ascii="Arial" w:hAnsi="Arial" w:cs="Arial"/>
        </w:rPr>
        <w:t>es de la educación para detectar y prevenir situaciones de maltrato físico y psicológico, agresiones sexuales y hechos de connotación sexual que atenten contra la integridad física, mental y emocional de los/as estudiantes dentro del contexto educativo.</w:t>
      </w:r>
    </w:p>
    <w:p w:rsidR="00394F92" w:rsidRPr="00A96E01" w:rsidRDefault="00394F92">
      <w:pPr>
        <w:widowControl w:val="0"/>
        <w:ind w:left="720"/>
        <w:jc w:val="both"/>
        <w:rPr>
          <w:rFonts w:ascii="Arial" w:hAnsi="Arial" w:cs="Arial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hAnsi="Arial" w:cs="Arial"/>
        </w:rPr>
        <w:t>E</w:t>
      </w:r>
      <w:r w:rsidRPr="00A96E01">
        <w:rPr>
          <w:rFonts w:ascii="Arial" w:hAnsi="Arial" w:cs="Arial"/>
        </w:rPr>
        <w:t xml:space="preserve">laborar e implementar estrategias de información y capacitación para detectar y prevenir situaciones de maltrato físico y psicológico, agresiones sexuales y hechos de </w:t>
      </w:r>
      <w:r w:rsidRPr="00A96E01">
        <w:rPr>
          <w:rFonts w:ascii="Arial" w:eastAsia="Arial" w:hAnsi="Arial" w:cs="Arial"/>
        </w:rPr>
        <w:t>connotación sexual que atenten contra la integridad física, mental y emocional de estudia</w:t>
      </w:r>
      <w:r w:rsidRPr="00A96E01">
        <w:rPr>
          <w:rFonts w:ascii="Arial" w:eastAsia="Arial" w:hAnsi="Arial" w:cs="Arial"/>
        </w:rPr>
        <w:t>ntes, ya sea dentro del contexto educativo como fuera de él.</w:t>
      </w:r>
    </w:p>
    <w:p w:rsidR="00394F92" w:rsidRPr="00A96E01" w:rsidRDefault="00394F92">
      <w:pPr>
        <w:widowControl w:val="0"/>
        <w:ind w:left="720"/>
        <w:jc w:val="both"/>
        <w:rPr>
          <w:rFonts w:ascii="Arial" w:eastAsia="Arial" w:hAnsi="Arial" w:cs="Arial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eastAsia="Arial" w:hAnsi="Arial" w:cs="Arial"/>
          <w:sz w:val="26"/>
          <w:szCs w:val="26"/>
        </w:rPr>
        <w:t>Potenciar las clases de orientación para concientizar en prácticas preventivas, de formación y fomento de la sana convivencia escolar.</w:t>
      </w:r>
    </w:p>
    <w:p w:rsidR="00394F92" w:rsidRPr="00A96E01" w:rsidRDefault="00394F92">
      <w:pPr>
        <w:widowControl w:val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A96E01">
        <w:rPr>
          <w:rFonts w:ascii="Arial" w:eastAsia="Arial" w:hAnsi="Arial" w:cs="Arial"/>
          <w:sz w:val="26"/>
          <w:szCs w:val="26"/>
        </w:rPr>
        <w:t>Promover y fortalecer relaciones inclusivas entre todos lo</w:t>
      </w:r>
      <w:r w:rsidRPr="00A96E01">
        <w:rPr>
          <w:rFonts w:ascii="Arial" w:eastAsia="Arial" w:hAnsi="Arial" w:cs="Arial"/>
          <w:sz w:val="26"/>
          <w:szCs w:val="26"/>
        </w:rPr>
        <w:t>s actores a través del reconocimiento y respeto de la diversidad cultural, social, personal y de género.</w:t>
      </w:r>
    </w:p>
    <w:p w:rsidR="00394F92" w:rsidRPr="00A96E01" w:rsidRDefault="00394F92">
      <w:pPr>
        <w:widowControl w:val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6"/>
          <w:szCs w:val="26"/>
        </w:rPr>
      </w:pPr>
      <w:r w:rsidRPr="00A96E01">
        <w:rPr>
          <w:rFonts w:ascii="Arial" w:eastAsia="Arial" w:hAnsi="Arial" w:cs="Arial"/>
          <w:sz w:val="26"/>
          <w:szCs w:val="26"/>
        </w:rPr>
        <w:t>Actualización del plan de gestión en el área de la convivencia escolar con sus respectivos protocolos a través de diversas actividades programadas con los estamentos y aplicación de instrumentos.</w:t>
      </w:r>
    </w:p>
    <w:p w:rsidR="00394F92" w:rsidRPr="00A96E01" w:rsidRDefault="00394F92">
      <w:pPr>
        <w:widowControl w:val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6"/>
          <w:szCs w:val="26"/>
        </w:rPr>
      </w:pPr>
      <w:r w:rsidRPr="00A96E01">
        <w:rPr>
          <w:rFonts w:ascii="Arial" w:eastAsia="Arial" w:hAnsi="Arial" w:cs="Arial"/>
          <w:sz w:val="26"/>
          <w:szCs w:val="26"/>
        </w:rPr>
        <w:t>Generar espacios de participación y reflexión en relación c</w:t>
      </w:r>
      <w:r w:rsidRPr="00A96E01">
        <w:rPr>
          <w:rFonts w:ascii="Arial" w:eastAsia="Arial" w:hAnsi="Arial" w:cs="Arial"/>
          <w:sz w:val="26"/>
          <w:szCs w:val="26"/>
        </w:rPr>
        <w:t xml:space="preserve">on el cuidado de los demás, el autocuidado y la buena convivencia escolar. </w:t>
      </w:r>
    </w:p>
    <w:p w:rsidR="00394F92" w:rsidRPr="00A96E01" w:rsidRDefault="00394F92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</w:p>
    <w:p w:rsidR="00394F92" w:rsidRPr="00A96E01" w:rsidRDefault="00DE498C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6"/>
          <w:szCs w:val="26"/>
        </w:rPr>
      </w:pPr>
      <w:r w:rsidRPr="00A96E01">
        <w:rPr>
          <w:rFonts w:ascii="Arial" w:eastAsia="Arial" w:hAnsi="Arial" w:cs="Arial"/>
          <w:sz w:val="26"/>
          <w:szCs w:val="26"/>
        </w:rPr>
        <w:t>Constituir un parlamento escolar donde se elaboren participativamente, entre todos los estamentos de la comunidad educativa, las normas de convivencia del establecimiento.</w:t>
      </w:r>
    </w:p>
    <w:p w:rsidR="00394F92" w:rsidRPr="00A96E01" w:rsidRDefault="00394F92">
      <w:pPr>
        <w:widowControl w:val="0"/>
        <w:ind w:left="720"/>
        <w:jc w:val="both"/>
        <w:rPr>
          <w:rFonts w:ascii="Arial" w:eastAsia="Arial" w:hAnsi="Arial" w:cs="Arial"/>
          <w:sz w:val="26"/>
          <w:szCs w:val="26"/>
        </w:rPr>
      </w:pPr>
    </w:p>
    <w:p w:rsidR="00394F92" w:rsidRDefault="00DE498C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6"/>
          <w:szCs w:val="26"/>
        </w:rPr>
      </w:pPr>
      <w:r w:rsidRPr="00A96E01">
        <w:rPr>
          <w:rFonts w:ascii="Arial" w:eastAsia="Arial" w:hAnsi="Arial" w:cs="Arial"/>
          <w:sz w:val="26"/>
          <w:szCs w:val="26"/>
        </w:rPr>
        <w:t>Fortal</w:t>
      </w:r>
      <w:r w:rsidRPr="00A96E01">
        <w:rPr>
          <w:rFonts w:ascii="Arial" w:eastAsia="Arial" w:hAnsi="Arial" w:cs="Arial"/>
          <w:sz w:val="26"/>
          <w:szCs w:val="26"/>
        </w:rPr>
        <w:t>ecer la resolución pacífica de conflictos, promoviendo el diálogo y una cultura de la paz</w:t>
      </w:r>
      <w:r>
        <w:rPr>
          <w:rFonts w:ascii="Arial" w:eastAsia="Arial" w:hAnsi="Arial" w:cs="Arial"/>
          <w:sz w:val="26"/>
          <w:szCs w:val="26"/>
        </w:rPr>
        <w:t>.</w:t>
      </w:r>
    </w:p>
    <w:p w:rsidR="00394F92" w:rsidRDefault="00394F92">
      <w:pPr>
        <w:rPr>
          <w:color w:val="9900FF"/>
        </w:rPr>
      </w:pPr>
    </w:p>
    <w:p w:rsidR="00AC469E" w:rsidRDefault="00AC469E">
      <w:pPr>
        <w:rPr>
          <w:color w:val="9900FF"/>
        </w:rPr>
      </w:pPr>
    </w:p>
    <w:p w:rsidR="00AC469E" w:rsidRDefault="00AC469E">
      <w:pPr>
        <w:rPr>
          <w:color w:val="9900FF"/>
        </w:rPr>
      </w:pPr>
    </w:p>
    <w:p w:rsidR="00AC469E" w:rsidRDefault="00AC469E">
      <w:pPr>
        <w:rPr>
          <w:color w:val="9900FF"/>
        </w:rPr>
      </w:pPr>
    </w:p>
    <w:p w:rsidR="00AC469E" w:rsidRDefault="00AC469E">
      <w:pPr>
        <w:rPr>
          <w:color w:val="9900FF"/>
        </w:rPr>
      </w:pPr>
    </w:p>
    <w:tbl>
      <w:tblPr>
        <w:tblStyle w:val="a1"/>
        <w:tblW w:w="10020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10020"/>
      </w:tblGrid>
      <w:tr w:rsidR="00394F92">
        <w:trPr>
          <w:trHeight w:val="1080"/>
        </w:trPr>
        <w:tc>
          <w:tcPr>
            <w:tcW w:w="1002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DE498C">
            <w:pPr>
              <w:spacing w:after="80"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VII. Equipo de Convivencia Escolar en el establecimiento educacional </w:t>
            </w:r>
          </w:p>
          <w:p w:rsidR="00394F92" w:rsidRDefault="00394F92">
            <w:pPr>
              <w:spacing w:line="276" w:lineRule="auto"/>
              <w:rPr>
                <w:b/>
                <w:sz w:val="17"/>
                <w:szCs w:val="17"/>
              </w:rPr>
            </w:pPr>
          </w:p>
        </w:tc>
      </w:tr>
    </w:tbl>
    <w:p w:rsidR="00394F92" w:rsidRDefault="00394F92"/>
    <w:tbl>
      <w:tblPr>
        <w:tblStyle w:val="a2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2216"/>
        <w:gridCol w:w="4173"/>
        <w:gridCol w:w="1860"/>
      </w:tblGrid>
      <w:tr w:rsidR="00394F92">
        <w:tc>
          <w:tcPr>
            <w:tcW w:w="18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Cargo</w:t>
            </w:r>
          </w:p>
        </w:tc>
        <w:tc>
          <w:tcPr>
            <w:tcW w:w="221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Nombre/s</w:t>
            </w:r>
          </w:p>
        </w:tc>
        <w:tc>
          <w:tcPr>
            <w:tcW w:w="417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Tareas y Responsabilidades</w:t>
            </w:r>
          </w:p>
        </w:tc>
        <w:tc>
          <w:tcPr>
            <w:tcW w:w="18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Funciones y horas para el cargo</w:t>
            </w:r>
          </w:p>
        </w:tc>
      </w:tr>
      <w:tr w:rsidR="00394F92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Encargada 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Convivencia 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Escolar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Katherine López 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-Promover el trabajo colaborativo en torno a la convivencia escolar en el consejo de profesores.</w:t>
            </w:r>
          </w:p>
          <w:p w:rsidR="00394F92" w:rsidRDefault="00DE498C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-Elaborar el Plan de Acción sobre convivencia escolar.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-Coordinar iniciativas de capacitación sobre la promoción de la bu</w:t>
            </w:r>
            <w:r>
              <w:rPr>
                <w:rFonts w:ascii="Arial" w:eastAsia="Arial" w:hAnsi="Arial" w:cs="Arial"/>
                <w:sz w:val="22"/>
                <w:szCs w:val="22"/>
              </w:rPr>
              <w:t>ena convivencia y manejo de situaciones de conflicto.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convivencia escolar.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 horas cronológicas.</w:t>
            </w:r>
          </w:p>
        </w:tc>
      </w:tr>
      <w:tr w:rsidR="00394F92">
        <w:trPr>
          <w:trHeight w:val="440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Equipo de Convivencia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Escolar 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Nombres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Funciones en el EE</w:t>
            </w:r>
          </w:p>
        </w:tc>
      </w:tr>
      <w:tr w:rsidR="00394F92">
        <w:trPr>
          <w:trHeight w:val="9614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Carolina Navarro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-Apoyo y seguimiento a alumnos derivados por diferentes estamentos del establecimiento educacional, que presentaron diversas sintomatologías psicosociales y/o escolar.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-Derivación de estudiantes a salud mental, redes de apoyo y programas interdisciplinario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-Trabajo directo y coordinación con diferentes redes de apoyo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-Seguimiento de los estudiantes que se encuentran en tratamiento psicológico y/o psiquiátrico, insertos en diferentes redes de apoyo. (CESFAM, COSAM)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-Apoyar al proceso de Convivencia Escola</w:t>
            </w:r>
            <w:r>
              <w:rPr>
                <w:rFonts w:ascii="Arial" w:eastAsia="Arial" w:hAnsi="Arial" w:cs="Arial"/>
                <w:sz w:val="22"/>
                <w:szCs w:val="22"/>
              </w:rPr>
              <w:t>r para entregar estrategias que fortalezcan la salud mental de los estudiantes.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-Participación en consejo de profesores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-Participación quincenal en reuniones de convivencia escolar, orientación e inspectoría general.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-Apoyo en la elaboración y confección del plan “Sexualidad Afectividad y género” en alianza con CESFAM Thomas Fenton y desarrollado por Convivencia Escolar. (Dupla psicosocial, Convivencia escolar, Orientación)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Psicóloga de la dupla psicosocial.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Mª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Victoria Vidal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Colabora y monitorea en el diseño e implementación del Plan de Gestión de Convivencia Escolar.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Colabora en el diagnóstico de convivencia escolar del establecimiento integrando instrumentos externos e internos.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Participación quincena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en las reuniones de convivencia escolar y orientación, y las acciones que nacen de este departamento.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Nexo entre programas de la red MEJOR NIÑEZ, que atienden alumnos del establecimiento. (PIE Identidad Sur, PEE ONG RAÍCES, PIE MAGALLANES, DAM,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),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que lleva a derivación a docentes jefes de pautas de seguimiento para Juzgado de FAMILIA y coordinación de reuniones entre equipos, para el análisis de casos.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Participación en consejo de Profesores.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Colabora en acciones de retención de estudiantes detectados.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Participación en las diversas reuniones y capacitaciones como dupla psicosocial, impartidas por la red colaboradora (SECREDUC, DEPROV, JUNAEB, ETC)</w:t>
            </w:r>
          </w:p>
          <w:p w:rsidR="00394F92" w:rsidRDefault="00DE498C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Trabajo colaborativo entre dupla psicosoc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ial y HPV III UMAG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Trabajadora de la dupla psicosocial.</w:t>
            </w:r>
          </w:p>
        </w:tc>
      </w:tr>
      <w:tr w:rsidR="00394F92">
        <w:trPr>
          <w:trHeight w:val="14115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>
                <w:rPr>
                  <w:color w:val="0000EE"/>
                  <w:u w:val="single"/>
                </w:rPr>
                <w:t>Sandra Caipillán</w:t>
              </w:r>
            </w:hyperlink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–Planifica, coordina y supervisa el trabajo de la dupla psicosocial en las actividades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asistencialidad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que benefic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ian a los estudiantes y sus familias.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-Atiende las necesidades de vulnerabilidad de los estudiantes, realizando las derivaciones a las entidades pertinentes tanto internas como externas, informando a los/as profesores jefes.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-Realiza contención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emocional 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los/as estudiantes que lo requieren.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Coordina visitas y charlas con Instituciones de Educación Superior en especial para estudiantes de cuarto medio.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Coordina reuniones entre equipos de redes externas para análisis de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Supervisa el buen funcionamiento de los/as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usuarios  que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pertenecen al PAE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-Gestiona a través de redes de apoyo externo, en conjunto con el equipo de Convivencia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Escolar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charlas de carácter preventivo  en temáticas  como ciberbullying, violencia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el pololeo, trabajando las emociones.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Planifica y coordina el proceso de Elección de Especialidades con estudiantes y apoderados/as de Segundos Años Medios.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-Gestiona el procedimiento de elección de mención en la especialidad de Administración, con 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tudiantes de terceros medios.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Participa en reuniones de Convivencia Escolar, Consejo de Profesores/as.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Coordina en conjunto con UTP actividades del Programa de Acceso Efectivo a la Educación Superior -PACE.</w:t>
            </w:r>
          </w:p>
          <w:p w:rsidR="00394F92" w:rsidRDefault="00DE498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Coordina  distribución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cursos para reali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zación de acto matinal .</w:t>
            </w:r>
          </w:p>
          <w:p w:rsidR="00394F92" w:rsidRDefault="00394F9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Orientadora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Sandra Sánchez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Apoyar las labores de control de disciplina de los estudiantes de la inspectoría general dónde y cuándo los inspectores generales le indiquen.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-Atender a estudiantes, apoderados y público en general respecto de solicitudes de documentos escolares.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Llevar el control de inasistencias y atrasos de los estudiantes que entreguen los inspectores de piso o la inspectora general.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Llevar carpetas por estudiante y curso donde se consignen las inasistencias y atrasos de los estudiantes y en donde firmen las correspondientes justificaciones los apoderados.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Llevar el programa computacional para los certificados, concentraciones de not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as, actas u otros documentos.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Presentar para la firma del director o de quien corresponda los documentos que solicitan los estudiantes, apoderados o público en general. (Certificados de estudio-alumno regular, etc.)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Actualiza el libro de Registro de 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trícula y completa la documentación de cada estudiante, exigida en el momento de ella.</w:t>
            </w:r>
          </w:p>
          <w:p w:rsidR="00394F92" w:rsidRDefault="00DE498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-Controlar atrasos, inasistencias, justificativos y certificados médicos y laborales presentados por los estudiantes.</w:t>
            </w:r>
          </w:p>
          <w:p w:rsidR="00394F92" w:rsidRDefault="00DE498C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-Emite Declaración Accidente Escolar.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lastRenderedPageBreak/>
              <w:t>Inspectora ge</w:t>
            </w:r>
            <w:r>
              <w:t>neral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 xml:space="preserve">Ruth </w:t>
            </w:r>
            <w:proofErr w:type="spellStart"/>
            <w:r>
              <w:t>Oliarte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Verifica justificaciones e inasistencias, entrevista a estudiantes y apoderados, revisa justificaciones de inasistencias a reuniones de apoderados, organiza reuniones entre asistentes de la educación e Inspectoría, entrega documentos formales, realiza pre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matrícula, emite Declaración Accidente Escolar, coordina reemplazos de profesores, coordina salas para reuniones de CCEE, aplica reglamento interno.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Apoyo a Inspectoría General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Giannina Ureta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spacing w:after="200"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Apoyar en las tareas de la encargada de convivencia escolar,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omo por ejemplo elaboración de talleres, entrevistas a estudiantes y/o apoderados, entrevista con programas de red externa, entrega de documentos solicitados por programas, fomentar el diálogo a través de mediaciones o círculos de paz para prevenir situaci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ones de violencia escolar, acompañamiento a estudiantes y seguimiento de casos, apoyar en la creación del PGCE, Plan Anual de Convivencia Escolar y Manual de Convivencia Escolar; asistir a reuniones de coordinación OCEI y profesores jefe; apoyo en 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organ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ización de la “Feria de afectividad y sexualidad”.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lastRenderedPageBreak/>
              <w:t>Apoyo a convivencia escolar</w:t>
            </w:r>
          </w:p>
        </w:tc>
      </w:tr>
      <w:tr w:rsidR="00394F92">
        <w:trPr>
          <w:trHeight w:val="440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Miembros del Consejo Escolar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Nombres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jc w:val="both"/>
            </w:pPr>
            <w:r>
              <w:t>Responsabilidades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Funciones en el EE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 apoderados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Apoderada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Katherine López 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Convivencia Escolar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Encargada de Convivencia escolar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Jorge Cabezas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del equipo de gestión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Director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Vivian Villarroel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 los/as estudiantes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Presidenta del CCEE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Juan Carlos </w:t>
            </w:r>
            <w:proofErr w:type="spellStart"/>
            <w:r>
              <w:t>Dragnic</w:t>
            </w:r>
            <w:proofErr w:type="spellEnd"/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 los profesores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Profesor de matemáticas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Mª</w:t>
            </w:r>
            <w:proofErr w:type="spellEnd"/>
            <w:r>
              <w:t xml:space="preserve"> Victoria Vidal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 los asistentes de educación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Trabajadora social</w:t>
            </w:r>
          </w:p>
        </w:tc>
      </w:tr>
      <w:tr w:rsidR="00394F92">
        <w:trPr>
          <w:trHeight w:val="44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  <w:tc>
          <w:tcPr>
            <w:tcW w:w="4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Representante del sostenedor (SLEP)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</w:tr>
    </w:tbl>
    <w:p w:rsidR="00394F92" w:rsidRDefault="00394F92"/>
    <w:p w:rsidR="00394F92" w:rsidRDefault="00394F92"/>
    <w:p w:rsidR="00394F92" w:rsidRDefault="00394F92"/>
    <w:tbl>
      <w:tblPr>
        <w:tblStyle w:val="a3"/>
        <w:tblpPr w:leftFromText="180" w:rightFromText="180" w:topFromText="180" w:bottomFromText="180" w:vertAnchor="text" w:tblpX="20"/>
        <w:tblW w:w="894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215"/>
        <w:gridCol w:w="1380"/>
        <w:gridCol w:w="3225"/>
        <w:gridCol w:w="2055"/>
        <w:gridCol w:w="1065"/>
      </w:tblGrid>
      <w:tr w:rsidR="00394F92">
        <w:trPr>
          <w:gridAfter w:val="1"/>
          <w:wAfter w:w="1065" w:type="dxa"/>
          <w:trHeight w:val="525"/>
        </w:trPr>
        <w:tc>
          <w:tcPr>
            <w:tcW w:w="121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138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322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205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</w:tr>
      <w:tr w:rsidR="00394F92">
        <w:trPr>
          <w:gridAfter w:val="1"/>
          <w:wAfter w:w="1065" w:type="dxa"/>
        </w:trPr>
        <w:tc>
          <w:tcPr>
            <w:tcW w:w="121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138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322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205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</w:tr>
      <w:tr w:rsidR="00394F92">
        <w:trPr>
          <w:gridAfter w:val="1"/>
          <w:wAfter w:w="1065" w:type="dxa"/>
          <w:trHeight w:val="285"/>
        </w:trPr>
        <w:tc>
          <w:tcPr>
            <w:tcW w:w="1215" w:type="dxa"/>
            <w:vMerge w:val="restart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138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322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205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</w:tr>
      <w:tr w:rsidR="00394F92">
        <w:trPr>
          <w:trHeight w:val="675"/>
        </w:trPr>
        <w:tc>
          <w:tcPr>
            <w:tcW w:w="1215" w:type="dxa"/>
            <w:vMerge/>
          </w:tcPr>
          <w:p w:rsidR="00394F92" w:rsidRDefault="00394F92"/>
        </w:tc>
        <w:tc>
          <w:tcPr>
            <w:tcW w:w="138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322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205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  <w:tc>
          <w:tcPr>
            <w:tcW w:w="1065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94F92" w:rsidRDefault="00394F92"/>
        </w:tc>
      </w:tr>
    </w:tbl>
    <w:p w:rsidR="00394F92" w:rsidRDefault="00394F92">
      <w:pPr>
        <w:spacing w:after="80" w:line="276" w:lineRule="auto"/>
        <w:rPr>
          <w:b/>
          <w:sz w:val="32"/>
          <w:szCs w:val="32"/>
        </w:rPr>
        <w:sectPr w:rsidR="00394F92" w:rsidSect="00AC469E">
          <w:footerReference w:type="default" r:id="rId12"/>
          <w:footerReference w:type="first" r:id="rId13"/>
          <w:pgSz w:w="12240" w:h="18720" w:code="14"/>
          <w:pgMar w:top="1174" w:right="969" w:bottom="530" w:left="1014" w:header="708" w:footer="708" w:gutter="0"/>
          <w:pgNumType w:start="0"/>
          <w:cols w:space="720"/>
          <w:titlePg/>
          <w:docGrid w:linePitch="326"/>
        </w:sectPr>
      </w:pPr>
    </w:p>
    <w:p w:rsidR="00394F92" w:rsidRDefault="00DE498C" w:rsidP="00AC469E">
      <w:pPr>
        <w:spacing w:after="80" w:line="276" w:lineRule="auto"/>
        <w:jc w:val="center"/>
      </w:pPr>
      <w:r>
        <w:rPr>
          <w:b/>
          <w:sz w:val="32"/>
          <w:szCs w:val="32"/>
        </w:rPr>
        <w:lastRenderedPageBreak/>
        <w:t>VIII. Matriz del Plan Gestión de la Convivencia Escolar.</w:t>
      </w:r>
    </w:p>
    <w:p w:rsidR="00394F92" w:rsidRDefault="00394F92"/>
    <w:p w:rsidR="00394F92" w:rsidRDefault="00394F92"/>
    <w:tbl>
      <w:tblPr>
        <w:tblStyle w:val="a4"/>
        <w:tblW w:w="148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595"/>
        <w:gridCol w:w="2025"/>
        <w:gridCol w:w="1785"/>
        <w:gridCol w:w="1560"/>
        <w:gridCol w:w="1710"/>
        <w:gridCol w:w="1785"/>
        <w:gridCol w:w="1965"/>
      </w:tblGrid>
      <w:tr w:rsidR="00394F92">
        <w:trPr>
          <w:trHeight w:val="440"/>
        </w:trPr>
        <w:tc>
          <w:tcPr>
            <w:tcW w:w="14895" w:type="dxa"/>
            <w:gridSpan w:val="8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Objetivo general del PGCE</w:t>
            </w:r>
          </w:p>
        </w:tc>
      </w:tr>
      <w:tr w:rsidR="00394F92">
        <w:trPr>
          <w:trHeight w:val="440"/>
        </w:trPr>
        <w:tc>
          <w:tcPr>
            <w:tcW w:w="1489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jc w:val="both"/>
            </w:pPr>
            <w:r>
              <w:t xml:space="preserve">Fortalecer la convivencia escolar de la comunidad educativa, mediante la aplicación del Plan Anual de Convivencia Escolar, facilitando las condiciones necesarias para la participación democrática e inclusiva, con énfasis en un trato respetuoso a través de </w:t>
            </w:r>
            <w:r>
              <w:t>la resolución pacífica de conflictos y el diálogo entre los y las estudiantes.</w:t>
            </w:r>
          </w:p>
        </w:tc>
      </w:tr>
      <w:tr w:rsidR="00394F92">
        <w:trPr>
          <w:trHeight w:val="440"/>
        </w:trPr>
        <w:tc>
          <w:tcPr>
            <w:tcW w:w="14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Dimensión</w:t>
            </w:r>
          </w:p>
        </w:tc>
        <w:tc>
          <w:tcPr>
            <w:tcW w:w="25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</w:t>
            </w:r>
          </w:p>
        </w:tc>
        <w:tc>
          <w:tcPr>
            <w:tcW w:w="20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o acciones</w:t>
            </w:r>
          </w:p>
        </w:tc>
        <w:tc>
          <w:tcPr>
            <w:tcW w:w="17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Responsables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</w:t>
            </w:r>
          </w:p>
        </w:tc>
        <w:tc>
          <w:tcPr>
            <w:tcW w:w="17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7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19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Medios de verificación</w:t>
            </w:r>
          </w:p>
        </w:tc>
      </w:tr>
      <w:tr w:rsidR="00394F92">
        <w:trPr>
          <w:trHeight w:val="440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Convivencia basada en un trato respetuoso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Promover los valores declarados en el PEI, identificando las conductas necesarias para lograrlos y las formas de medirlos para su evaluación.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del PEI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del año escolar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participativa del PEI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Realización de actos de bienvenida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Materiales de oficina (cartulinas, goma </w:t>
            </w:r>
            <w:proofErr w:type="spellStart"/>
            <w:r>
              <w:rPr>
                <w:sz w:val="22"/>
                <w:szCs w:val="22"/>
              </w:rPr>
              <w:t>eva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del año escolar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generar un ambiente ameno en la recepción de estudiantes el primer día de clases.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Medios audiovisuales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el propósito de promover valores institucionales como el respeto hacia otros y nuestro entorno, los/as estudiantes realizan limpiezas </w:t>
            </w:r>
            <w:r>
              <w:rPr>
                <w:sz w:val="22"/>
                <w:szCs w:val="22"/>
              </w:rPr>
              <w:lastRenderedPageBreak/>
              <w:t>de espacios cercanos al liceo.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Bolsas, guantes, pinzas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octubre-noviembre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y las estud</w:t>
            </w:r>
            <w:r>
              <w:rPr>
                <w:sz w:val="22"/>
                <w:szCs w:val="22"/>
              </w:rPr>
              <w:t>iantes se comprometen con la limpieza de su entorno promoviendo la responsabilidad ciudadana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Medios audiovisuales</w:t>
            </w:r>
          </w:p>
          <w:p w:rsidR="00394F92" w:rsidRDefault="00394F92">
            <w:pPr>
              <w:widowControl w:val="0"/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de asistencia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Promover medidas formativas, restaurativas y preventivas que favorezcan el desarrollo de habilidades sociales y la reflexión, para así prevenir medidas punitivas e instaurar una convivencia en base al diálogo y fortalecer valores como el respeto, responsab</w:t>
            </w:r>
            <w:r>
              <w:rPr>
                <w:sz w:val="22"/>
                <w:szCs w:val="22"/>
              </w:rPr>
              <w:t>ilidad y empatía que forman parte de nuestro PEI.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Implementar medidas formativas y restaurativas en caso de conflicto que promuevan el buen trato.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2024-2028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Aprendizaje formativo en torno a la resolución de conflictos entre pares.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Libro de entrevistas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Promover los protocolos de actuación entre docentes y asistentes de la educación para detectar y prevenir situaciones de maltrato físico y psicológico, agresio</w:t>
            </w:r>
            <w:r>
              <w:rPr>
                <w:sz w:val="22"/>
                <w:szCs w:val="22"/>
              </w:rPr>
              <w:t>nes sexuales y hechos de connotación sexual que atenten contra la integridad física, mental y emocional de los/as estudiantes dentro del contexto educativo.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Talleres de socialización y/o actualización de los protocolos de actuación a todos los miembros de </w:t>
            </w:r>
            <w:r>
              <w:rPr>
                <w:sz w:val="22"/>
                <w:szCs w:val="22"/>
              </w:rPr>
              <w:t>la comunidad educativa.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del año escolar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y las participantes se interiorizan y proponen modificaciones a los protocolos de actuación.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 e implementar estrategias de información </w:t>
            </w:r>
            <w:r>
              <w:rPr>
                <w:sz w:val="22"/>
                <w:szCs w:val="22"/>
              </w:rPr>
              <w:lastRenderedPageBreak/>
              <w:t>y capacitación para detectar y prevenir situaciones de maltrato físico y psicológico, agresiones sexuales y hechos de connotación sexual que atenten contra la integridad física, mental y emocional de estudi</w:t>
            </w:r>
            <w:r>
              <w:rPr>
                <w:sz w:val="22"/>
                <w:szCs w:val="22"/>
              </w:rPr>
              <w:t>antes, ya sea dentro del contexto educativo como fuera de él.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Coordinar charlas y/o talleres con </w:t>
            </w:r>
            <w:r>
              <w:rPr>
                <w:sz w:val="22"/>
                <w:szCs w:val="22"/>
              </w:rPr>
              <w:lastRenderedPageBreak/>
              <w:t>profesionales que aborden la prevención del abuso y qué hacer en caso de maltrato (Plan de sexualidad y afectividad).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Dupla psicosocial.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-abril a noviembre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os y las estudiantes se </w:t>
            </w:r>
            <w:r>
              <w:rPr>
                <w:sz w:val="22"/>
                <w:szCs w:val="22"/>
              </w:rPr>
              <w:lastRenderedPageBreak/>
              <w:t>informan con respecto a estrategias para prevenir y/o denunciar el abuso o maltrato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Plan de afectividad y sexualidad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Organización de la “feria de afectividad y sexualidad </w:t>
            </w:r>
            <w:proofErr w:type="spellStart"/>
            <w:r>
              <w:rPr>
                <w:sz w:val="22"/>
                <w:szCs w:val="22"/>
              </w:rPr>
              <w:t>Insuquina</w:t>
            </w:r>
            <w:proofErr w:type="spellEnd"/>
            <w:r>
              <w:rPr>
                <w:sz w:val="22"/>
                <w:szCs w:val="22"/>
              </w:rPr>
              <w:t>” en la cual se invitan organizaciones externas relacionadas al autocuidado sexual y afectivo.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Dupla psicosocial.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de toldos.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Materiales de oficina. 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octubre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Aprendizaje sobre temáticas de afectividad y sexualidad para prevenir embarazos no deseados, transmisión de ETS, violencia/abuso sexual, violencia de género, orientación sexual, identidad de género.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 audiovisual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Potenciar las clases de orientación p</w:t>
            </w:r>
            <w:r>
              <w:rPr>
                <w:sz w:val="22"/>
                <w:szCs w:val="22"/>
              </w:rPr>
              <w:t>ara concientizar en prácticas preventivas, de formación y fomento de la sana convivencia escolar.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Talleres para promover el trato respetuoso basado en la empatía </w:t>
            </w:r>
            <w:proofErr w:type="gramStart"/>
            <w:r>
              <w:rPr>
                <w:sz w:val="22"/>
                <w:szCs w:val="22"/>
              </w:rPr>
              <w:t>y  respeto</w:t>
            </w:r>
            <w:proofErr w:type="gramEnd"/>
            <w:r>
              <w:rPr>
                <w:sz w:val="22"/>
                <w:szCs w:val="22"/>
              </w:rPr>
              <w:t xml:space="preserve"> mutuo.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promoverán también temas como el autocuidado, salud mental y prevención de </w:t>
            </w:r>
            <w:r>
              <w:rPr>
                <w:sz w:val="22"/>
                <w:szCs w:val="22"/>
              </w:rPr>
              <w:lastRenderedPageBreak/>
              <w:t xml:space="preserve">consumo de drogas.  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Orientación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Materiales de oficina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-abril a noviembre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prácticas que involucren el respeto mutuo y la empatía, así como, el autocuidado y la prevención</w:t>
            </w:r>
            <w:r>
              <w:rPr>
                <w:sz w:val="22"/>
                <w:szCs w:val="22"/>
              </w:rPr>
              <w:t xml:space="preserve"> de conductas de riesgo.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 audiovisual</w:t>
            </w:r>
          </w:p>
        </w:tc>
      </w:tr>
      <w:tr w:rsidR="00394F92">
        <w:trPr>
          <w:trHeight w:val="440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Convivencia inclusiva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Promover y fortalecer relaciones inclusivas entre todos los actores a través del reconocimiento y respeto de la diversidad cultural, social, personal y de género.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Conformar un equipo de estudiantes a cargo de la “radio </w:t>
            </w:r>
            <w:proofErr w:type="spellStart"/>
            <w:r>
              <w:rPr>
                <w:sz w:val="22"/>
                <w:szCs w:val="22"/>
              </w:rPr>
              <w:t>Insuquina</w:t>
            </w:r>
            <w:proofErr w:type="spellEnd"/>
            <w:r>
              <w:rPr>
                <w:sz w:val="22"/>
                <w:szCs w:val="22"/>
              </w:rPr>
              <w:t>”, la cual funcionará durante la hora del almuerzo y transmitirá música e informaciones relevantes para la comunidad educativa.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Renovación de equipos de radio.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-abril-diciembre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ind w:left="110" w:right="97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Lograr la inclusión de estudiantes extranjeros, trans, PIE y pertenecientes a pueblos originarios mediante la creación de una radio.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 audiovisual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Instalación de “espacios entretenidos” para ser utilizados durante recreo y almuerzo, aumentando las instancias de distensión de los/as estudiantes (ocasiones en que practican habilidades blandas y la autorregulación).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mesas </w:t>
            </w:r>
            <w:r>
              <w:rPr>
                <w:sz w:val="22"/>
                <w:szCs w:val="22"/>
              </w:rPr>
              <w:t>de pin pon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taca-taca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de mesa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de carta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de dibujo y pintura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materiales para manualidades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abril-diciembre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Disminuir la monotonía y el nivel de estrés en los y las estudiantes.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Medio audiovisual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Intervención psicosocial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Dupla psicosocial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Contratación de </w:t>
            </w:r>
            <w:r>
              <w:rPr>
                <w:sz w:val="22"/>
                <w:szCs w:val="22"/>
              </w:rPr>
              <w:lastRenderedPageBreak/>
              <w:t>profesionales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Generar instancias de </w:t>
            </w:r>
            <w:r>
              <w:rPr>
                <w:sz w:val="22"/>
                <w:szCs w:val="22"/>
              </w:rPr>
              <w:lastRenderedPageBreak/>
              <w:t>intervención individual a estudiantes con necesidades psicosociales.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Libro de asistencia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en red (programas de intervención psicosocial).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Dupla psicosocial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Computador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una triangulación en conjunto con redes externas y el establecimiento sumado a las familias de nuestros/as estudiantes.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Informes, libro de entrevista, actas de reuniones.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Intervención y seguimiento de estudiantes con situaciones sociales y/o emocionales complejas.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-marzo-diciembre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Establecer un método de trabajo preventivo para estudiantes con situaciones sociales y/o emocionales complejas.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Informes, libro de entrevista, actas de reuniones, activación de protocolos.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Apoyo de orientación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Orientación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Contratación de profesional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Sumar al equipo apoyo profesional para lograr las metas dispuestas en el presente PGCE.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Libro de asistencia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poyo a estudiantes trans mediante:</w:t>
            </w:r>
          </w:p>
          <w:p w:rsidR="00394F92" w:rsidRDefault="00394F92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F92" w:rsidRDefault="00DE498C">
            <w:pPr>
              <w:widowControl w:val="0"/>
              <w:ind w:righ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I) Alianza con la Fundación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Akainik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consistente en las siguientes actividades:</w:t>
            </w:r>
          </w:p>
          <w:p w:rsidR="00394F92" w:rsidRDefault="00394F92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F92" w:rsidRDefault="00DE498C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Talleres para asistentes y docentes (Circular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0812)</w:t>
            </w:r>
          </w:p>
          <w:p w:rsidR="00394F92" w:rsidRDefault="00DE498C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Asesoría en conformación de comité de género y diversidad.</w:t>
            </w:r>
          </w:p>
          <w:p w:rsidR="00394F92" w:rsidRDefault="00DE498C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Asesoría  familiar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si se requiere</w:t>
            </w:r>
          </w:p>
          <w:p w:rsidR="00394F92" w:rsidRDefault="00394F92">
            <w:pPr>
              <w:widowControl w:val="0"/>
              <w:ind w:left="110" w:right="97"/>
              <w:rPr>
                <w:rFonts w:ascii="Arial" w:eastAsia="Arial" w:hAnsi="Arial" w:cs="Arial"/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II) Derivación al programa</w:t>
            </w:r>
            <w:r>
              <w:rPr>
                <w:sz w:val="22"/>
                <w:szCs w:val="22"/>
              </w:rPr>
              <w:t xml:space="preserve"> PAIG.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Reconocer las diversas identidades en </w:t>
            </w:r>
            <w:proofErr w:type="spellStart"/>
            <w:r>
              <w:rPr>
                <w:sz w:val="22"/>
                <w:szCs w:val="22"/>
              </w:rPr>
              <w:t>edufacil</w:t>
            </w:r>
            <w:proofErr w:type="spellEnd"/>
            <w:r>
              <w:rPr>
                <w:sz w:val="22"/>
                <w:szCs w:val="22"/>
              </w:rPr>
              <w:t>, entrevistas y en todo los e</w:t>
            </w:r>
            <w:r>
              <w:rPr>
                <w:sz w:val="22"/>
                <w:szCs w:val="22"/>
              </w:rPr>
              <w:t xml:space="preserve">spacios </w:t>
            </w:r>
            <w:proofErr w:type="gramStart"/>
            <w:r>
              <w:rPr>
                <w:sz w:val="22"/>
                <w:szCs w:val="22"/>
              </w:rPr>
              <w:t>educativos,  y</w:t>
            </w:r>
            <w:proofErr w:type="gramEnd"/>
            <w:r>
              <w:rPr>
                <w:sz w:val="22"/>
                <w:szCs w:val="22"/>
              </w:rPr>
              <w:t xml:space="preserve">  generar apoyo a estudiantes y sus familias.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circular 0812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Actas</w:t>
            </w:r>
          </w:p>
        </w:tc>
      </w:tr>
      <w:tr w:rsidR="00394F92">
        <w:trPr>
          <w:trHeight w:val="44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ind w:left="110" w:right="97"/>
            </w:pPr>
            <w:r>
              <w:rPr>
                <w:rFonts w:ascii="Arial" w:eastAsia="Arial" w:hAnsi="Arial" w:cs="Arial"/>
                <w:sz w:val="22"/>
                <w:szCs w:val="22"/>
              </w:rPr>
              <w:t>Conformar comité de género del Instituto Superior de Comercio y elaboración de sus estatutos.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tabs>
                <w:tab w:val="left" w:pos="524"/>
                <w:tab w:val="left" w:pos="915"/>
                <w:tab w:val="left" w:pos="1343"/>
                <w:tab w:val="left" w:pos="1407"/>
              </w:tabs>
              <w:ind w:left="104" w:right="96"/>
            </w:pPr>
            <w:r>
              <w:rPr>
                <w:rFonts w:ascii="Arial" w:eastAsia="Arial" w:hAnsi="Arial" w:cs="Arial"/>
                <w:sz w:val="22"/>
                <w:szCs w:val="22"/>
              </w:rPr>
              <w:t>Proponer ideas para la elaboración de los estatutos con enfoque de género.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de asistencia</w:t>
            </w:r>
          </w:p>
        </w:tc>
      </w:tr>
      <w:tr w:rsidR="00394F92">
        <w:trPr>
          <w:trHeight w:val="440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Una convivencia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caracterizada por la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participación democrática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la colaboración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del plan de gestión en el área de la convivencia escolar con sus respectivos protocolos a través de diversas actividades programadas con los estamentos y aplicación de instrumentos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del plan de gestión con la participación de est</w:t>
            </w:r>
            <w:r>
              <w:rPr>
                <w:sz w:val="22"/>
                <w:szCs w:val="22"/>
              </w:rPr>
              <w:t>udiantes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colaciones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-marzo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del plan de gestión de forma participativa.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gestión.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 audiovisual.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Generar espacios de participación y reflexión en relación con el cuidado de los demás, el autocuidado y la buena convivencia escolar. </w:t>
            </w: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y socialización del manual de convivencia con la participación de todos los estamentos de la comunidad ed</w:t>
            </w:r>
            <w:r>
              <w:rPr>
                <w:sz w:val="22"/>
                <w:szCs w:val="22"/>
              </w:rPr>
              <w:t>ucativa.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papelógrafos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plumones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Actualización del manual de convivencia de forma participativa.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 de convivencia escolar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Jornada de autocuidado (salida)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t>Traslado</w:t>
            </w:r>
          </w:p>
          <w:p w:rsidR="00394F92" w:rsidRDefault="00DE498C">
            <w:pPr>
              <w:widowControl w:val="0"/>
            </w:pPr>
            <w:r>
              <w:t>colaciones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octubre-noviembre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espacios de autocuidado fortaleciendo factores de bienestar en la salud mental de nuestros/as estudiantes.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 audiovisual</w:t>
            </w:r>
          </w:p>
        </w:tc>
      </w:tr>
      <w:tr w:rsidR="00394F92">
        <w:trPr>
          <w:trHeight w:val="3232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Constituir un parlamento escolar donde se elaboren participativamente, entre todos los estamentos de la comunidad educativa, las normas de convivencia del establecimiento.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Generar un parlamento escolar para reformular en forma democrática y participativa u</w:t>
            </w:r>
            <w:r>
              <w:rPr>
                <w:sz w:val="22"/>
                <w:szCs w:val="22"/>
              </w:rPr>
              <w:t>n nuevo reglamento de convivencia interna.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Equipo de Convivencia Escolar.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a cargo del proceso</w:t>
            </w:r>
          </w:p>
          <w:p w:rsidR="00394F92" w:rsidRDefault="00394F92">
            <w:pPr>
              <w:widowControl w:val="0"/>
              <w:rPr>
                <w:sz w:val="22"/>
                <w:szCs w:val="22"/>
              </w:rPr>
            </w:pPr>
          </w:p>
          <w:p w:rsidR="00394F92" w:rsidRDefault="00394F92">
            <w:pPr>
              <w:widowControl w:val="0"/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papelógrafos</w:t>
            </w:r>
          </w:p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hojas</w:t>
            </w:r>
          </w:p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plumones</w:t>
            </w:r>
          </w:p>
          <w:p w:rsidR="00394F92" w:rsidRDefault="00394F92">
            <w:pPr>
              <w:widowControl w:val="0"/>
              <w:rPr>
                <w:sz w:val="22"/>
                <w:szCs w:val="22"/>
              </w:rPr>
            </w:pPr>
          </w:p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colación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formular un nuevo reglamento de forma participativa.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Reglamento de convivencia interna</w:t>
            </w:r>
          </w:p>
        </w:tc>
      </w:tr>
      <w:tr w:rsidR="00394F92">
        <w:trPr>
          <w:trHeight w:val="3232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Generar un trabajo articulado con profesores jefe.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Reuniones periódicas por nivel para analizar diversas situaciones de cada curso.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Equipo de Convivencia Escolar.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marzo- 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Lograr trabajo articulado con profesores jefes y el equipo de convivencia escolar para identificar necesidades y situaciones a mejorar.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Resúmenes de las reuniones.</w:t>
            </w:r>
          </w:p>
        </w:tc>
      </w:tr>
      <w:tr w:rsidR="00394F92">
        <w:trPr>
          <w:trHeight w:val="440"/>
        </w:trPr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resolución pacífica y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dialogada de los conflictos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Fortalecer la resolución pacífica de conflictos, promoviendo el diálogo y una cultura de la paz.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Realización de mediaciones y círculo de paz para la resolución de conflictos liderados por estudiantes.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Computador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marzo-diciembre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Disminuir el nivel de conflictos entre estudiantes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Actas de mediación o círculo de paz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Conversatorios en los cursos, </w:t>
            </w:r>
            <w:r>
              <w:rPr>
                <w:sz w:val="22"/>
                <w:szCs w:val="22"/>
              </w:rPr>
              <w:lastRenderedPageBreak/>
              <w:t>reuniones de apoderados y consejos de funcionarios.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Equipo de Convivencia </w:t>
            </w:r>
            <w:r>
              <w:rPr>
                <w:sz w:val="22"/>
                <w:szCs w:val="22"/>
              </w:rPr>
              <w:lastRenderedPageBreak/>
              <w:t>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Computador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Cartulinas 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Plumones</w:t>
            </w:r>
          </w:p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marzo - 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Generar espacios de diálogo sobre </w:t>
            </w:r>
            <w:r>
              <w:rPr>
                <w:sz w:val="22"/>
                <w:szCs w:val="22"/>
              </w:rPr>
              <w:lastRenderedPageBreak/>
              <w:t>temas relevantes para la comunidad educativa.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Hoja de registro</w:t>
            </w:r>
          </w:p>
        </w:tc>
      </w:tr>
      <w:tr w:rsidR="00394F92">
        <w:trPr>
          <w:trHeight w:val="440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39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Capacitaciones de formación docente enfocadas en el desarrollo de herramientas sobre resolución de conflictos, aprendizaje socioemocional y buen trato.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 de Convivencia Escolar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Contratación de ATE externa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diciembre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Aprendizaje de los/as docentes en to</w:t>
            </w:r>
            <w:r>
              <w:rPr>
                <w:sz w:val="22"/>
                <w:szCs w:val="22"/>
              </w:rPr>
              <w:t>rno a temáticas directamente relacionadas con la convivencia escolar, el vínculo, aprendizaje socioemocional y buen trato.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92" w:rsidRDefault="00DE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Encuesta que evalúe la calidad de la capacitación.</w:t>
            </w:r>
          </w:p>
        </w:tc>
      </w:tr>
    </w:tbl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394F92">
      <w:pPr>
        <w:spacing w:after="80" w:line="276" w:lineRule="auto"/>
      </w:pPr>
    </w:p>
    <w:p w:rsidR="00394F92" w:rsidRDefault="00DE498C">
      <w:pPr>
        <w:spacing w:after="8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XI. Referencias</w:t>
      </w:r>
    </w:p>
    <w:p w:rsidR="00394F92" w:rsidRDefault="00394F92">
      <w:pPr>
        <w:spacing w:after="80" w:line="276" w:lineRule="auto"/>
        <w:rPr>
          <w:b/>
          <w:sz w:val="32"/>
          <w:szCs w:val="32"/>
        </w:rPr>
      </w:pPr>
    </w:p>
    <w:p w:rsidR="00394F92" w:rsidRDefault="00DE498C">
      <w:pPr>
        <w:spacing w:after="80" w:line="276" w:lineRule="auto"/>
        <w:ind w:left="283"/>
        <w:jc w:val="both"/>
        <w:rPr>
          <w:b/>
          <w:sz w:val="32"/>
          <w:szCs w:val="32"/>
        </w:rPr>
      </w:pPr>
      <w:r>
        <w:rPr>
          <w:rFonts w:ascii="Arial" w:eastAsia="Arial" w:hAnsi="Arial" w:cs="Arial"/>
        </w:rPr>
        <w:t>López, V. y cols. (2015). Convivencia escolar como práctica social: de lo individual a lo social, de lo reactivo y punitivo a lo formativo, del déficit a los recursos, de lo autoritario a lo participativo. ¡Nosotros sí podemos! Aprendiendo a mejorar la con</w:t>
      </w:r>
      <w:r>
        <w:rPr>
          <w:rFonts w:ascii="Arial" w:eastAsia="Arial" w:hAnsi="Arial" w:cs="Arial"/>
        </w:rPr>
        <w:t>vivencia escolar. Centro de Investigación Avanzada en Educación y Pontificia Universidad Católica de Valparaíso, pp. 117-135.</w:t>
      </w:r>
    </w:p>
    <w:p w:rsidR="00394F92" w:rsidRDefault="00394F92">
      <w:pPr>
        <w:spacing w:after="80" w:line="276" w:lineRule="auto"/>
        <w:rPr>
          <w:rFonts w:ascii="Arial" w:eastAsia="Arial" w:hAnsi="Arial" w:cs="Arial"/>
        </w:rPr>
      </w:pPr>
    </w:p>
    <w:p w:rsidR="00394F92" w:rsidRDefault="00DE498C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Magendzo, A., Toledo, M. y Gutiérrez, V. (2012). Descripción y análisis de la Ley sobre Violencia Escolar (N°20.536): dos paradigmas antagónicos. Revista Estudios Pedagógicos, 39 (1), 377-391.</w:t>
      </w:r>
    </w:p>
    <w:p w:rsidR="00394F92" w:rsidRDefault="00394F92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</w:p>
    <w:p w:rsidR="00394F92" w:rsidRDefault="00DE498C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Ministerio de Educación (noviembre 2017). </w:t>
      </w:r>
      <w:r>
        <w:rPr>
          <w:rFonts w:ascii="Arial" w:eastAsia="Arial" w:hAnsi="Arial" w:cs="Arial"/>
          <w:i/>
        </w:rPr>
        <w:t>Enfoque de género, i</w:t>
      </w:r>
      <w:r>
        <w:rPr>
          <w:rFonts w:ascii="Arial" w:eastAsia="Arial" w:hAnsi="Arial" w:cs="Arial"/>
          <w:i/>
        </w:rPr>
        <w:t xml:space="preserve">ncorporación de los instrumentos de gestión escolar. </w:t>
      </w:r>
      <w:r>
        <w:rPr>
          <w:rFonts w:ascii="Arial" w:eastAsia="Arial" w:hAnsi="Arial" w:cs="Arial"/>
        </w:rPr>
        <w:t xml:space="preserve">Convivencia para la ciudadanía. </w:t>
      </w:r>
      <w:hyperlink r:id="rId14">
        <w:r>
          <w:rPr>
            <w:rFonts w:ascii="Arial" w:eastAsia="Arial" w:hAnsi="Arial" w:cs="Arial"/>
            <w:u w:val="single"/>
          </w:rPr>
          <w:t>https://convivenciap</w:t>
        </w:r>
        <w:r>
          <w:rPr>
            <w:rFonts w:ascii="Arial" w:eastAsia="Arial" w:hAnsi="Arial" w:cs="Arial"/>
            <w:u w:val="single"/>
          </w:rPr>
          <w:t>araciudadania.mineduc.cl/wp-content/uploads/2019/04/Cartilla-Enfoque-de-G%C3%A9nero-en-Gesti%C3%B3n-Escolar.pdf</w:t>
        </w:r>
      </w:hyperlink>
    </w:p>
    <w:p w:rsidR="00394F92" w:rsidRDefault="00394F92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</w:p>
    <w:p w:rsidR="00394F92" w:rsidRDefault="00DE498C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Ministerio de Educación (marzo 2019). </w:t>
      </w:r>
      <w:r>
        <w:rPr>
          <w:rFonts w:ascii="Arial" w:eastAsia="Arial" w:hAnsi="Arial" w:cs="Arial"/>
          <w:i/>
        </w:rPr>
        <w:t xml:space="preserve"> La Política Nacional de Convivencia Escolar</w:t>
      </w:r>
      <w:r>
        <w:rPr>
          <w:rFonts w:ascii="Arial" w:eastAsia="Arial" w:hAnsi="Arial" w:cs="Arial"/>
        </w:rPr>
        <w:t xml:space="preserve">. Convivencia para la ciudadanía. </w:t>
      </w:r>
      <w:hyperlink r:id="rId15">
        <w:r>
          <w:rPr>
            <w:rFonts w:ascii="Arial" w:eastAsia="Arial" w:hAnsi="Arial" w:cs="Arial"/>
          </w:rPr>
          <w:t>https://convivenciaparaciudadania.mineduc.cl/wp-content/uploads/2019/04/Politica-Nacional-de-Convivencia-Escolar.pdf</w:t>
        </w:r>
      </w:hyperlink>
    </w:p>
    <w:p w:rsidR="00394F92" w:rsidRDefault="00394F92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</w:p>
    <w:p w:rsidR="00394F92" w:rsidRDefault="00DE498C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Ministerio de Educación (juni</w:t>
      </w:r>
      <w:r>
        <w:rPr>
          <w:rFonts w:ascii="Arial" w:eastAsia="Arial" w:hAnsi="Arial" w:cs="Arial"/>
        </w:rPr>
        <w:t xml:space="preserve">o 2020). </w:t>
      </w:r>
      <w:r>
        <w:rPr>
          <w:rFonts w:ascii="Arial" w:eastAsia="Arial" w:hAnsi="Arial" w:cs="Arial"/>
          <w:i/>
        </w:rPr>
        <w:t xml:space="preserve">Primera Estrategia Nacional de Educación Pública 2020-2028. </w:t>
      </w:r>
      <w:r>
        <w:rPr>
          <w:rFonts w:ascii="Arial" w:eastAsia="Arial" w:hAnsi="Arial" w:cs="Arial"/>
        </w:rPr>
        <w:t xml:space="preserve">Biblioteca digital Mineduc.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https://bibliotecadigital.mineduc.cl/handle/20.500.12365/14973</w:t>
        </w:r>
      </w:hyperlink>
    </w:p>
    <w:p w:rsidR="00394F92" w:rsidRDefault="00394F92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</w:p>
    <w:p w:rsidR="00394F92" w:rsidRDefault="00DE498C">
      <w:pPr>
        <w:spacing w:after="80" w:line="276" w:lineRule="auto"/>
        <w:ind w:lef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Ministerio de</w:t>
      </w:r>
      <w:r>
        <w:rPr>
          <w:rFonts w:ascii="Arial" w:eastAsia="Arial" w:hAnsi="Arial" w:cs="Arial"/>
        </w:rPr>
        <w:t xml:space="preserve"> Educación (junio 2022) </w:t>
      </w:r>
      <w:r>
        <w:rPr>
          <w:rFonts w:ascii="Arial" w:eastAsia="Arial" w:hAnsi="Arial" w:cs="Arial"/>
          <w:i/>
        </w:rPr>
        <w:t>Orientaciones para promover aspectos claves para el desarrollo integral.</w:t>
      </w:r>
      <w:r>
        <w:rPr>
          <w:rFonts w:ascii="Arial" w:eastAsia="Arial" w:hAnsi="Arial" w:cs="Arial"/>
        </w:rPr>
        <w:t xml:space="preserve"> Diagnóstico integral Agencia de Educación. </w:t>
      </w:r>
      <w:hyperlink r:id="rId17">
        <w:r>
          <w:rPr>
            <w:rFonts w:ascii="Arial" w:eastAsia="Arial" w:hAnsi="Arial" w:cs="Arial"/>
            <w:u w:val="single"/>
          </w:rPr>
          <w:t>htt</w:t>
        </w:r>
        <w:r>
          <w:rPr>
            <w:rFonts w:ascii="Arial" w:eastAsia="Arial" w:hAnsi="Arial" w:cs="Arial"/>
            <w:u w:val="single"/>
          </w:rPr>
          <w:t>ps://diagnosticointegral.agenciaeducacion.cl/documentos/Orientaciones%20socioemocional.pdf</w:t>
        </w:r>
      </w:hyperlink>
    </w:p>
    <w:p w:rsidR="00394F92" w:rsidRDefault="00394F92">
      <w:pPr>
        <w:spacing w:after="80" w:line="276" w:lineRule="auto"/>
        <w:ind w:left="283" w:hanging="283"/>
        <w:jc w:val="both"/>
        <w:rPr>
          <w:rFonts w:ascii="Arial" w:eastAsia="Arial" w:hAnsi="Arial" w:cs="Arial"/>
        </w:rPr>
      </w:pPr>
    </w:p>
    <w:sectPr w:rsidR="00394F92">
      <w:pgSz w:w="16838" w:h="11906" w:orient="landscape"/>
      <w:pgMar w:top="1174" w:right="969" w:bottom="530" w:left="101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8C" w:rsidRDefault="00DE498C">
      <w:r>
        <w:separator/>
      </w:r>
    </w:p>
  </w:endnote>
  <w:endnote w:type="continuationSeparator" w:id="0">
    <w:p w:rsidR="00DE498C" w:rsidRDefault="00DE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ptos Display">
    <w:altName w:val="Cambria"/>
    <w:panose1 w:val="00000000000000000000"/>
    <w:charset w:val="00"/>
    <w:family w:val="roman"/>
    <w:notTrueType/>
    <w:pitch w:val="default"/>
  </w:font>
  <w:font w:name="Gilmer Heav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92" w:rsidRDefault="00DE498C">
    <w:pPr>
      <w:jc w:val="right"/>
    </w:pPr>
    <w:r>
      <w:fldChar w:fldCharType="begin"/>
    </w:r>
    <w:r>
      <w:instrText>PAGE</w:instrText>
    </w:r>
    <w:r w:rsidR="00A96E01">
      <w:fldChar w:fldCharType="separate"/>
    </w:r>
    <w:r w:rsidR="00A96E0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92" w:rsidRDefault="00394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8C" w:rsidRDefault="00DE498C">
      <w:r>
        <w:separator/>
      </w:r>
    </w:p>
  </w:footnote>
  <w:footnote w:type="continuationSeparator" w:id="0">
    <w:p w:rsidR="00DE498C" w:rsidRDefault="00DE498C">
      <w:r>
        <w:continuationSeparator/>
      </w:r>
    </w:p>
  </w:footnote>
  <w:footnote w:id="1">
    <w:p w:rsidR="00394F92" w:rsidRDefault="00DE498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Ley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20.536 de 2011. Artíc</w:t>
      </w:r>
      <w:r>
        <w:rPr>
          <w:rFonts w:ascii="Arial" w:eastAsia="Arial" w:hAnsi="Arial" w:cs="Arial"/>
        </w:rPr>
        <w:t>ulo 16 que define lo que se entiende por “Buena Convivencia”.</w:t>
      </w:r>
    </w:p>
  </w:footnote>
  <w:footnote w:id="2">
    <w:p w:rsidR="00394F92" w:rsidRDefault="00DE498C">
      <w:pPr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Ley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21.040, en sus artículos 5, 10, y 12 referidos a </w:t>
      </w:r>
      <w:proofErr w:type="gramStart"/>
      <w:r>
        <w:rPr>
          <w:rFonts w:ascii="Arial" w:eastAsia="Arial" w:hAnsi="Arial" w:cs="Arial"/>
        </w:rPr>
        <w:t>las articulación</w:t>
      </w:r>
      <w:proofErr w:type="gramEnd"/>
      <w:r>
        <w:rPr>
          <w:rFonts w:ascii="Arial" w:eastAsia="Arial" w:hAnsi="Arial" w:cs="Arial"/>
        </w:rPr>
        <w:t xml:space="preserve"> con el PEI, al consejo escolar y al consejo de profesores</w:t>
      </w:r>
    </w:p>
    <w:p w:rsidR="00394F92" w:rsidRDefault="00394F92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A51"/>
    <w:multiLevelType w:val="multilevel"/>
    <w:tmpl w:val="32C87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86EB9"/>
    <w:multiLevelType w:val="multilevel"/>
    <w:tmpl w:val="1D64F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214C44"/>
    <w:multiLevelType w:val="multilevel"/>
    <w:tmpl w:val="29085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14EE6"/>
    <w:multiLevelType w:val="multilevel"/>
    <w:tmpl w:val="340618B8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457C7C"/>
    <w:multiLevelType w:val="multilevel"/>
    <w:tmpl w:val="EB9A0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92"/>
    <w:rsid w:val="00394F92"/>
    <w:rsid w:val="00A96E01"/>
    <w:rsid w:val="00AC469E"/>
    <w:rsid w:val="00D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51B0"/>
  <w15:docId w15:val="{CBCEECF1-2C8C-4432-85DA-007B9C5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Aptos" w:hAnsi="Aptos" w:cs="Aptos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1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B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B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B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B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D1B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D1B1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B1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B16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B16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B16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B16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B16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B16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B16"/>
    <w:rPr>
      <w:rFonts w:eastAsiaTheme="majorEastAsia" w:cstheme="majorBidi"/>
      <w:color w:val="272727" w:themeColor="text1" w:themeTint="D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D1B1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1B16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4D1B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D1B16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4D1B1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D1B1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B16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4D1B16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FE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FE0C74"/>
    <w:rPr>
      <w:rFonts w:cs="Gilmer Heavy"/>
      <w:b/>
      <w:bCs/>
      <w:color w:val="000000"/>
      <w:sz w:val="40"/>
      <w:szCs w:val="40"/>
    </w:rPr>
  </w:style>
  <w:style w:type="character" w:styleId="Hipervnculo">
    <w:name w:val="Hyperlink"/>
    <w:basedOn w:val="Fuentedeprrafopredeter"/>
    <w:uiPriority w:val="99"/>
    <w:unhideWhenUsed/>
    <w:rsid w:val="00FE0C7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C74"/>
    <w:rPr>
      <w:color w:val="605E5C"/>
      <w:shd w:val="clear" w:color="auto" w:fill="E1DFDD"/>
    </w:rPr>
  </w:style>
  <w:style w:type="table" w:styleId="Tabladelista1clara-nfasis4">
    <w:name w:val="List Table 1 Light Accent 4"/>
    <w:basedOn w:val="Tablanormal"/>
    <w:uiPriority w:val="46"/>
    <w:rsid w:val="00FE0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E0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adelista1clara">
    <w:name w:val="List Table 1 Light"/>
    <w:basedOn w:val="Tablanormal"/>
    <w:uiPriority w:val="46"/>
    <w:rsid w:val="00FE0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3-nfasis1">
    <w:name w:val="Grid Table 3 Accent 1"/>
    <w:basedOn w:val="Tablanormal"/>
    <w:uiPriority w:val="48"/>
    <w:rsid w:val="00FE0C74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table" w:styleId="Tablanormal1">
    <w:name w:val="Plain Table 1"/>
    <w:basedOn w:val="Tablanormal"/>
    <w:uiPriority w:val="41"/>
    <w:rsid w:val="00FE0C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4">
    <w:name w:val="Grid Table 2 Accent 4"/>
    <w:basedOn w:val="Tablanormal"/>
    <w:uiPriority w:val="47"/>
    <w:rsid w:val="00FE0C74"/>
    <w:tblPr>
      <w:tblStyleRowBandSize w:val="1"/>
      <w:tblStyleColBandSize w:val="1"/>
      <w:tblBorders>
        <w:top w:val="single" w:sz="2" w:space="0" w:color="60CAF3" w:themeColor="accent4" w:themeTint="99"/>
        <w:bottom w:val="single" w:sz="2" w:space="0" w:color="60CAF3" w:themeColor="accent4" w:themeTint="99"/>
        <w:insideH w:val="single" w:sz="2" w:space="0" w:color="60CAF3" w:themeColor="accent4" w:themeTint="99"/>
        <w:insideV w:val="single" w:sz="2" w:space="0" w:color="60CAF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CAF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E0C74"/>
    <w:tblPr>
      <w:tblStyleRowBandSize w:val="1"/>
      <w:tblStyleColBandSize w:val="1"/>
      <w:tblBorders>
        <w:top w:val="single" w:sz="2" w:space="0" w:color="D86DCB" w:themeColor="accent5" w:themeTint="99"/>
        <w:bottom w:val="single" w:sz="2" w:space="0" w:color="D86DCB" w:themeColor="accent5" w:themeTint="99"/>
        <w:insideH w:val="single" w:sz="2" w:space="0" w:color="D86DCB" w:themeColor="accent5" w:themeTint="99"/>
        <w:insideV w:val="single" w:sz="2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D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iagnosticointegral.agenciaeducacion.cl/documentos/Orientaciones%20socioemocio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cadigital.mineduc.cl/handle/20.500.12365/149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aipillan@insucopuntaarenas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ivenciaparaciudadania.mineduc.cl/wp-content/uploads/2019/04/Politica-Nacional-de-Convivencia-Escolar.pdf" TargetMode="External"/><Relationship Id="rId10" Type="http://schemas.openxmlformats.org/officeDocument/2006/relationships/hyperlink" Target="mailto:convivenciaescola.insuco@insucopuntaarenas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vivencia@insucopuntaarenas.cl" TargetMode="External"/><Relationship Id="rId14" Type="http://schemas.openxmlformats.org/officeDocument/2006/relationships/hyperlink" Target="https://convivenciaparaciudadania.mineduc.cl/wp-content/uploads/2019/04/Cartilla-Enfoque-de-G%C3%A9nero-en-Gesti%C3%B3n-Escol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WCmsJAqr2Op0qRiPy/7ZHo3MTw==">CgMxLjA4AHIhMVl0VHhWb3pDamdqSEc2V0lBOXhHUnhtRHdzTllnMm1Z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5787</Words>
  <Characters>31833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AGUILERA GOMEZ</dc:creator>
  <cp:lastModifiedBy>ConvEscolar</cp:lastModifiedBy>
  <cp:revision>3</cp:revision>
  <dcterms:created xsi:type="dcterms:W3CDTF">2024-03-08T12:59:00Z</dcterms:created>
  <dcterms:modified xsi:type="dcterms:W3CDTF">2024-04-04T18:13:00Z</dcterms:modified>
</cp:coreProperties>
</file>